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0" w:right="331" w:firstLine="0"/>
        <w:jc w:val="center"/>
        <w:rPr>
          <w:rFonts w:ascii="黑体" w:hAnsi="黑体" w:eastAsia="黑体" w:cs="黑体"/>
          <w:sz w:val="48"/>
          <w:szCs w:val="32"/>
        </w:rPr>
      </w:pPr>
    </w:p>
    <w:p>
      <w:pPr>
        <w:spacing w:after="0" w:line="259" w:lineRule="auto"/>
        <w:ind w:left="0" w:right="331" w:firstLine="0"/>
        <w:jc w:val="center"/>
        <w:rPr>
          <w:rFonts w:ascii="黑体" w:hAnsi="黑体" w:eastAsia="黑体" w:cs="黑体"/>
          <w:sz w:val="48"/>
          <w:szCs w:val="32"/>
        </w:rPr>
      </w:pPr>
    </w:p>
    <w:p>
      <w:pPr>
        <w:spacing w:after="0" w:line="259" w:lineRule="auto"/>
        <w:ind w:left="0" w:right="331" w:firstLine="0"/>
        <w:jc w:val="center"/>
        <w:rPr>
          <w:rFonts w:ascii="黑体" w:hAnsi="黑体" w:eastAsia="黑体" w:cs="黑体"/>
          <w:sz w:val="48"/>
          <w:szCs w:val="32"/>
        </w:rPr>
      </w:pPr>
      <w:r>
        <w:rPr>
          <w:rFonts w:ascii="黑体" w:hAnsi="黑体" w:eastAsia="黑体" w:cs="黑体"/>
          <w:sz w:val="48"/>
          <w:szCs w:val="32"/>
        </w:rPr>
        <w:t>2021年度 武汉市黄陂区人民政府大潭办事处（汇总）部门决算公开</w:t>
      </w: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rPr>
          <w:rFonts w:ascii="黑体" w:hAnsi="黑体" w:eastAsia="黑体" w:cs="黑体"/>
          <w:sz w:val="36"/>
        </w:rPr>
      </w:pPr>
    </w:p>
    <w:p>
      <w:pPr>
        <w:spacing w:after="0" w:line="259" w:lineRule="auto"/>
        <w:ind w:left="0" w:right="331" w:firstLine="0"/>
        <w:jc w:val="center"/>
      </w:pPr>
      <w:r>
        <w:rPr>
          <w:rFonts w:ascii="黑体" w:hAnsi="黑体" w:eastAsia="黑体" w:cs="黑体"/>
          <w:sz w:val="36"/>
        </w:rPr>
        <w:t>2022年10月18日</w:t>
      </w:r>
    </w:p>
    <w:p>
      <w:pPr>
        <w:spacing w:after="255" w:line="259" w:lineRule="auto"/>
        <w:ind w:left="0" w:right="336" w:firstLine="0"/>
        <w:jc w:val="center"/>
        <w:rPr>
          <w:sz w:val="48"/>
        </w:rPr>
      </w:pPr>
    </w:p>
    <w:p>
      <w:pPr>
        <w:spacing w:after="255" w:line="259" w:lineRule="auto"/>
        <w:ind w:left="0" w:right="336" w:firstLine="0"/>
        <w:jc w:val="center"/>
        <w:rPr>
          <w:sz w:val="48"/>
        </w:rPr>
      </w:pPr>
    </w:p>
    <w:p>
      <w:pPr>
        <w:spacing w:after="255" w:line="259" w:lineRule="auto"/>
        <w:ind w:left="0" w:right="336" w:firstLine="0"/>
        <w:jc w:val="center"/>
        <w:rPr>
          <w:sz w:val="48"/>
        </w:rPr>
      </w:pPr>
    </w:p>
    <w:p>
      <w:pPr>
        <w:spacing w:after="255" w:line="259" w:lineRule="auto"/>
        <w:ind w:left="0" w:right="336" w:firstLine="0"/>
        <w:jc w:val="center"/>
      </w:pPr>
      <w:r>
        <w:rPr>
          <w:sz w:val="48"/>
        </w:rPr>
        <w:t>目 录</w:t>
      </w:r>
    </w:p>
    <w:p>
      <w:r>
        <w:t>第一部分 武汉市黄陂区人民政府大潭办事处（汇总）概况</w:t>
      </w:r>
    </w:p>
    <w:p>
      <w:pPr>
        <w:numPr>
          <w:ilvl w:val="0"/>
          <w:numId w:val="1"/>
        </w:numPr>
        <w:spacing w:after="152" w:line="259" w:lineRule="auto"/>
        <w:ind w:left="2019" w:hanging="641"/>
      </w:pPr>
      <w:r>
        <w:t>部门主要职能</w:t>
      </w:r>
    </w:p>
    <w:p>
      <w:pPr>
        <w:numPr>
          <w:ilvl w:val="0"/>
          <w:numId w:val="1"/>
        </w:numPr>
        <w:spacing w:after="152" w:line="259" w:lineRule="auto"/>
        <w:ind w:left="2019" w:hanging="641"/>
      </w:pPr>
      <w:r>
        <w:t>部门决算单位构成</w:t>
      </w:r>
    </w:p>
    <w:p>
      <w:pPr>
        <w:numPr>
          <w:ilvl w:val="0"/>
          <w:numId w:val="1"/>
        </w:numPr>
        <w:spacing w:after="152" w:line="259" w:lineRule="auto"/>
        <w:ind w:left="2019" w:hanging="641"/>
      </w:pPr>
      <w:r>
        <w:t>部门人员构成</w:t>
      </w:r>
    </w:p>
    <w:p>
      <w:r>
        <w:t>第二部分 武汉市黄陂区人民政府大潭办事处（汇总）2021年度部门决算表</w:t>
      </w:r>
    </w:p>
    <w:p>
      <w:r>
        <w:t>第三部分 武汉市黄陂区人民政府大潭办事处（汇总）2021年度部门决算情况说明</w:t>
      </w:r>
    </w:p>
    <w:p>
      <w:pPr>
        <w:ind w:left="0" w:leftChars="0" w:right="2348" w:firstLine="1280" w:firstLineChars="400"/>
      </w:pPr>
      <w:r>
        <w:t>一、收入支出决算总体情况说明</w:t>
      </w:r>
    </w:p>
    <w:p>
      <w:pPr>
        <w:ind w:left="0" w:leftChars="0" w:right="2348" w:firstLine="1280" w:firstLineChars="400"/>
      </w:pPr>
      <w:r>
        <w:t>二、收入决算情况说明</w:t>
      </w:r>
    </w:p>
    <w:p>
      <w:pPr>
        <w:ind w:left="0" w:leftChars="0" w:right="2348" w:firstLine="1280" w:firstLineChars="400"/>
      </w:pPr>
      <w:r>
        <w:t>三、支出决算情况说明</w:t>
      </w:r>
    </w:p>
    <w:p>
      <w:pPr>
        <w:ind w:left="0" w:leftChars="0" w:right="2348" w:firstLine="1280" w:firstLineChars="400"/>
      </w:pPr>
      <w:r>
        <w:rPr>
          <w:rFonts w:hint="eastAsia"/>
          <w:lang w:val="en-US" w:eastAsia="zh-CN"/>
        </w:rPr>
        <w:t>四、</w:t>
      </w:r>
      <w:r>
        <w:t>财政拨款收入支出决算总体情况说明</w:t>
      </w:r>
    </w:p>
    <w:p>
      <w:pPr>
        <w:ind w:left="0" w:leftChars="0" w:right="2348" w:firstLine="1280" w:firstLineChars="400"/>
      </w:pPr>
      <w:r>
        <w:rPr>
          <w:rFonts w:hint="eastAsia"/>
          <w:lang w:val="en-US" w:eastAsia="zh-CN"/>
        </w:rPr>
        <w:t>五、</w:t>
      </w:r>
      <w:r>
        <w:t>一般公共预算财政拨款支出决算情况说明</w:t>
      </w:r>
    </w:p>
    <w:p>
      <w:r>
        <w:rPr>
          <w:rFonts w:hint="eastAsia"/>
          <w:lang w:val="en-US" w:eastAsia="zh-CN"/>
        </w:rPr>
        <w:t>六、</w:t>
      </w:r>
      <w:r>
        <w:t>一般公共预算财政拨款基本支出决算情况说明</w:t>
      </w:r>
    </w:p>
    <w:p>
      <w:pPr>
        <w:rPr>
          <w:rFonts w:hint="eastAsia"/>
          <w:lang w:val="en-US" w:eastAsia="zh-CN"/>
        </w:rPr>
      </w:pPr>
      <w:r>
        <w:rPr>
          <w:rFonts w:hint="eastAsia"/>
          <w:lang w:val="en-US" w:eastAsia="zh-CN"/>
        </w:rPr>
        <w:t>七、一般公共预算财政拨款“三公”经费支出决算情况说明</w:t>
      </w:r>
    </w:p>
    <w:p>
      <w:pPr>
        <w:rPr>
          <w:rFonts w:hint="eastAsia"/>
          <w:lang w:val="en-US" w:eastAsia="zh-CN"/>
        </w:rPr>
      </w:pPr>
      <w:r>
        <w:rPr>
          <w:rFonts w:hint="eastAsia"/>
          <w:lang w:val="en-US" w:eastAsia="zh-CN"/>
        </w:rPr>
        <w:t>八、政府性基金预算财政拨款收入支出决算情况说明</w:t>
      </w:r>
    </w:p>
    <w:p>
      <w:pPr>
        <w:numPr>
          <w:ilvl w:val="0"/>
          <w:numId w:val="0"/>
        </w:numPr>
        <w:ind w:firstLine="1280" w:firstLineChars="400"/>
      </w:pPr>
      <w:r>
        <w:t>九、国有资本经营预算财政拨款支出决算情况说明</w:t>
      </w:r>
    </w:p>
    <w:p>
      <w:pPr>
        <w:numPr>
          <w:ilvl w:val="0"/>
          <w:numId w:val="0"/>
        </w:numPr>
        <w:ind w:firstLine="1280" w:firstLineChars="400"/>
      </w:pPr>
      <w:r>
        <w:t>十、机关运行经费支出说明</w:t>
      </w:r>
    </w:p>
    <w:p>
      <w:pPr>
        <w:numPr>
          <w:ilvl w:val="0"/>
          <w:numId w:val="0"/>
        </w:numPr>
        <w:ind w:firstLine="1280" w:firstLineChars="400"/>
      </w:pPr>
      <w:r>
        <w:t>十一、政府采购支出说明</w:t>
      </w:r>
    </w:p>
    <w:p>
      <w:pPr>
        <w:numPr>
          <w:ilvl w:val="0"/>
          <w:numId w:val="0"/>
        </w:numPr>
        <w:ind w:firstLine="1280" w:firstLineChars="400"/>
      </w:pPr>
      <w:r>
        <w:t>十二、国有资产占用情况说明</w:t>
      </w:r>
    </w:p>
    <w:p>
      <w:pPr>
        <w:numPr>
          <w:ilvl w:val="0"/>
          <w:numId w:val="0"/>
        </w:numPr>
        <w:ind w:firstLine="1280" w:firstLineChars="400"/>
      </w:pPr>
      <w:r>
        <w:t>十三、预算绩效情况说明</w:t>
      </w:r>
    </w:p>
    <w:p>
      <w:pPr>
        <w:ind w:left="1378" w:right="3543" w:firstLine="0"/>
      </w:pPr>
      <w:r>
        <w:t>第四部分 2021年重点工作完成情况第五部分 名词解释第六部分 附件</w:t>
      </w:r>
      <w:r>
        <w:br w:type="page"/>
      </w:r>
    </w:p>
    <w:p>
      <w:pPr>
        <w:ind w:left="1378" w:hanging="581"/>
        <w:rPr>
          <w:b/>
          <w:bCs/>
        </w:rPr>
      </w:pPr>
      <w:r>
        <w:rPr>
          <w:b/>
          <w:bCs/>
        </w:rPr>
        <w:t>第一部分 武汉市黄陂区人民政府大潭办事处（汇总）概况</w:t>
      </w:r>
    </w:p>
    <w:p>
      <w:pPr>
        <w:ind w:left="1434" w:leftChars="448" w:firstLine="57" w:firstLineChars="18"/>
      </w:pPr>
      <w:r>
        <w:t>一、部门主要职能</w:t>
      </w:r>
    </w:p>
    <w:p>
      <w:r>
        <w:t>1.办事处党工委按照</w:t>
      </w:r>
      <w:r>
        <w:rPr>
          <w:rFonts w:hint="eastAsia"/>
          <w:lang w:eastAsia="zh-CN"/>
        </w:rPr>
        <w:t>《</w:t>
      </w:r>
      <w:r>
        <w:t>中国共产党章程</w:t>
      </w:r>
      <w:r>
        <w:rPr>
          <w:rFonts w:hint="eastAsia"/>
          <w:lang w:eastAsia="zh-CN"/>
        </w:rPr>
        <w:t>》</w:t>
      </w:r>
      <w:r>
        <w:t>、</w:t>
      </w:r>
      <w:r>
        <w:rPr>
          <w:rFonts w:hint="eastAsia"/>
          <w:lang w:eastAsia="zh-CN"/>
        </w:rPr>
        <w:t>《中华人民共和国宪法》</w:t>
      </w:r>
      <w:r>
        <w:t>的有关规定履行职责。</w:t>
      </w:r>
    </w:p>
    <w:p>
      <w:r>
        <w:t>2.办事处主要承担社会行政管理职能，落实国家政策，严格依法行政，搞好市场监管，发展乡村经济、文化和社会事业，提供公共服务，维护社会稳定。</w:t>
      </w:r>
    </w:p>
    <w:p>
      <w:r>
        <w:t>3.纪工委按照</w:t>
      </w:r>
      <w:r>
        <w:rPr>
          <w:rFonts w:hint="eastAsia"/>
          <w:lang w:eastAsia="zh-CN"/>
        </w:rPr>
        <w:t>《</w:t>
      </w:r>
      <w:r>
        <w:t>中国共产党章程</w:t>
      </w:r>
      <w:r>
        <w:rPr>
          <w:rFonts w:hint="eastAsia"/>
          <w:lang w:eastAsia="zh-CN"/>
        </w:rPr>
        <w:t>》</w:t>
      </w:r>
      <w:r>
        <w:t>和</w:t>
      </w:r>
      <w:r>
        <w:rPr>
          <w:rFonts w:hint="eastAsia"/>
          <w:lang w:eastAsia="zh-CN"/>
        </w:rPr>
        <w:t>《</w:t>
      </w:r>
      <w:r>
        <w:t>中华人民共和国行政监察法</w:t>
      </w:r>
      <w:r>
        <w:rPr>
          <w:rFonts w:hint="eastAsia"/>
          <w:lang w:eastAsia="zh-CN"/>
        </w:rPr>
        <w:t>》</w:t>
      </w:r>
      <w:r>
        <w:t>履行职责。</w:t>
      </w:r>
    </w:p>
    <w:p>
      <w:r>
        <w:t>4.人民武装部依法履行国防动员、民兵训练、预备役管理等职责。</w:t>
      </w:r>
    </w:p>
    <w:p>
      <w:r>
        <w:t>5.负责在辖区开展普法教育工作，做好民事调解，开展法律咨询、服务等工作，维护居民的合法权益，搞好辖区内社会管理综合治理工作。</w:t>
      </w:r>
    </w:p>
    <w:p>
      <w:r>
        <w:t>6.负责本辖区的城市管理工作，发动群众开展爱国卫生运动，绿化、美化、净化城市环境，协助有关部门做好环境卫生、环境保护工作。</w:t>
      </w:r>
    </w:p>
    <w:p>
      <w:pPr>
        <w:spacing w:after="152" w:line="259" w:lineRule="auto"/>
        <w:ind w:left="1378" w:firstLine="0"/>
      </w:pPr>
      <w:r>
        <w:t>7.承办区委、区政府交办的其他工作。</w:t>
      </w:r>
    </w:p>
    <w:p>
      <w:pPr>
        <w:spacing w:after="152" w:line="259" w:lineRule="auto"/>
        <w:ind w:left="1378" w:firstLine="0"/>
      </w:pPr>
      <w:r>
        <w:t>二、部门决算单位构成</w:t>
      </w:r>
    </w:p>
    <w:p>
      <w:r>
        <w:t>从单位构成看，武汉市黄陂区人民政府大潭办事处（汇总）部门决算由纳入独立核算的单位本级决算和2 个下属单位决算组成。纳入武汉市黄陂区人民政府大潭办事处（汇总）2021 年度部门决算编制范围的二级预算单位包括：</w:t>
      </w:r>
    </w:p>
    <w:p>
      <w:pPr>
        <w:spacing w:after="152" w:line="259" w:lineRule="auto"/>
        <w:ind w:left="1378" w:firstLine="0"/>
      </w:pPr>
      <w:r>
        <w:t>1.武汉市黄陂区人民政府大潭办事处（本级）</w:t>
      </w:r>
    </w:p>
    <w:p>
      <w:pPr>
        <w:spacing w:after="184" w:line="259" w:lineRule="auto"/>
        <w:ind w:left="1378" w:firstLine="0"/>
      </w:pPr>
      <w:r>
        <w:t>2. 武汉市黄陂区人民政府大潭办事处财政所。</w:t>
      </w:r>
    </w:p>
    <w:p>
      <w:pPr>
        <w:spacing w:after="152" w:line="259" w:lineRule="auto"/>
        <w:ind w:left="1378" w:firstLine="0"/>
      </w:pPr>
      <w:r>
        <w:t>三、部门人员构成</w:t>
      </w:r>
    </w:p>
    <w:p>
      <w:r>
        <w:t>武汉市黄陂区人民政府大潭办事处（汇总）在职实有人数39人，其中：行政24人，事业15人(其中：参照公务员法管理0人)。</w:t>
      </w:r>
    </w:p>
    <w:p>
      <w:pPr>
        <w:spacing w:line="259" w:lineRule="auto"/>
        <w:ind w:left="1378" w:firstLine="0"/>
      </w:pPr>
      <w:r>
        <w:t>离退休人员1人，其中：离休0人，退休1人。</w:t>
      </w:r>
      <w:r>
        <w:br w:type="page"/>
      </w:r>
    </w:p>
    <w:p>
      <w:pPr>
        <w:spacing w:after="184" w:line="259" w:lineRule="auto"/>
        <w:ind w:left="797" w:firstLine="0"/>
      </w:pPr>
      <w:r>
        <w:t>第二部分 武汉市黄陂区人民政府大潭办事处（汇总）2021</w:t>
      </w:r>
    </w:p>
    <w:p>
      <w:pPr>
        <w:pStyle w:val="2"/>
        <w:spacing w:after="0" w:line="265" w:lineRule="auto"/>
        <w:ind w:left="214" w:right="536"/>
        <w:jc w:val="center"/>
      </w:pPr>
      <w:r>
        <w:rPr>
          <w:rFonts w:ascii="宋体" w:hAnsi="宋体" w:eastAsia="宋体" w:cs="宋体"/>
        </w:rPr>
        <w:t>年度部门决算表</w:t>
      </w:r>
    </w:p>
    <w:p>
      <w:pPr>
        <w:spacing w:after="0" w:line="259" w:lineRule="auto"/>
        <w:ind w:left="521" w:right="465" w:hanging="10"/>
        <w:jc w:val="center"/>
      </w:pPr>
      <w:r>
        <w:t>2021年度收入支出决算总表（表1）</w:t>
      </w:r>
      <w:r>
        <w:rPr>
          <w:sz w:val="18"/>
        </w:rPr>
        <w:t>部门：武汉市黄陂区人民政府大潭办事处（汇总）</w:t>
      </w:r>
      <w:r>
        <w:rPr>
          <w:sz w:val="18"/>
        </w:rPr>
        <w:tab/>
      </w:r>
      <w:r>
        <w:rPr>
          <w:sz w:val="18"/>
        </w:rPr>
        <w:t>金额单位：万元</w:t>
      </w:r>
    </w:p>
    <w:tbl>
      <w:tblPr>
        <w:tblStyle w:val="8"/>
        <w:tblW w:w="9329" w:type="dxa"/>
        <w:tblInd w:w="417" w:type="dxa"/>
        <w:tblLayout w:type="autofit"/>
        <w:tblCellMar>
          <w:top w:w="34" w:type="dxa"/>
          <w:left w:w="107" w:type="dxa"/>
          <w:bottom w:w="0" w:type="dxa"/>
          <w:right w:w="110" w:type="dxa"/>
        </w:tblCellMar>
      </w:tblPr>
      <w:tblGrid>
        <w:gridCol w:w="2942"/>
        <w:gridCol w:w="695"/>
        <w:gridCol w:w="1035"/>
        <w:gridCol w:w="2898"/>
        <w:gridCol w:w="680"/>
        <w:gridCol w:w="1079"/>
      </w:tblGrid>
      <w:tr>
        <w:tblPrEx>
          <w:tblCellMar>
            <w:top w:w="34" w:type="dxa"/>
            <w:left w:w="107" w:type="dxa"/>
            <w:bottom w:w="0" w:type="dxa"/>
            <w:right w:w="110" w:type="dxa"/>
          </w:tblCellMar>
        </w:tblPrEx>
        <w:trPr>
          <w:trHeight w:val="270" w:hRule="atLeast"/>
        </w:trPr>
        <w:tc>
          <w:tcPr>
            <w:tcW w:w="4672"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2" w:firstLine="0"/>
            </w:pPr>
            <w:r>
              <w:rPr>
                <w:sz w:val="20"/>
              </w:rPr>
              <w:t>收入</w:t>
            </w:r>
          </w:p>
        </w:tc>
        <w:tc>
          <w:tcPr>
            <w:tcW w:w="4657"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0" w:firstLine="0"/>
            </w:pPr>
            <w:r>
              <w:rPr>
                <w:sz w:val="20"/>
              </w:rPr>
              <w:t>支出</w:t>
            </w: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项目</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both"/>
            </w:pPr>
            <w:r>
              <w:rPr>
                <w:sz w:val="20"/>
              </w:rPr>
              <w:t>行次</w:t>
            </w:r>
          </w:p>
        </w:tc>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金额</w:t>
            </w: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项目</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both"/>
            </w:pPr>
            <w:r>
              <w:rPr>
                <w:sz w:val="20"/>
              </w:rPr>
              <w:t>行次</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金额</w:t>
            </w: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栏次</w:t>
            </w:r>
          </w:p>
        </w:tc>
        <w:tc>
          <w:tcPr>
            <w:tcW w:w="69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w:t>
            </w: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栏次</w:t>
            </w:r>
          </w:p>
        </w:tc>
        <w:tc>
          <w:tcPr>
            <w:tcW w:w="6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w:t>
            </w:r>
          </w:p>
        </w:tc>
      </w:tr>
      <w:tr>
        <w:tblPrEx>
          <w:tblCellMar>
            <w:top w:w="34" w:type="dxa"/>
            <w:left w:w="107" w:type="dxa"/>
            <w:bottom w:w="0" w:type="dxa"/>
            <w:right w:w="110" w:type="dxa"/>
          </w:tblCellMar>
        </w:tblPrEx>
        <w:trPr>
          <w:trHeight w:val="528"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一、一般公共预算财政拨款收入</w:t>
            </w: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2,964.40</w:t>
            </w:r>
          </w:p>
        </w:tc>
        <w:tc>
          <w:tcPr>
            <w:tcW w:w="289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一、一般公共服务支出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31</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1,146.72</w:t>
            </w:r>
          </w:p>
        </w:tc>
      </w:tr>
      <w:tr>
        <w:tblPrEx>
          <w:tblCellMar>
            <w:top w:w="34" w:type="dxa"/>
            <w:left w:w="107" w:type="dxa"/>
            <w:bottom w:w="0" w:type="dxa"/>
            <w:right w:w="110" w:type="dxa"/>
          </w:tblCellMar>
        </w:tblPrEx>
        <w:trPr>
          <w:trHeight w:val="52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二、政府性基金预算财政拨款收入</w:t>
            </w: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2</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二、外交支出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32</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52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三、国有资本经营预算财政拨款收入</w:t>
            </w: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3</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三、国防支出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33</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四、上级补助收入</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四、公共安全支出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34</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五、事业收入</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五、教育支出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35</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六、经营收入</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6</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六、科学技术支出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36</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七、附属单位上缴收入</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both"/>
            </w:pPr>
            <w:r>
              <w:rPr>
                <w:sz w:val="20"/>
              </w:rPr>
              <w:t>七、文化旅游体育与传媒支出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37</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10.77</w:t>
            </w: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八、其他收入</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8</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八、社会保障和就业支出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38</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89.85</w:t>
            </w: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9</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九、卫生健康支出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39</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117.96</w:t>
            </w: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10</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十、节能环保支出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40</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十一、城乡社区支出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41</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526.22</w:t>
            </w: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12</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十二、农林水支出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42</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909.71</w:t>
            </w: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十三、交通运输支出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43</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528"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14</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十四、资源勘探工业信息等支出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44</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15</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十五、商业服务业等支出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45</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16</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十六、金融支出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46</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17</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十七、援助其他地区支出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47</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52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18</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十八、自然资源海洋气象等支出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48</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19</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十九、住房保障支出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49</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133.17</w:t>
            </w: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20</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二十、粮油物资储备支出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50</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52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21</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二十一、国有资本经营预算支出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51</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528"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22</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二十二、灾害防治及应急管理支出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52</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27.00</w:t>
            </w: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23</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二十三、其他支出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53</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24</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二十四、债务还本支出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54</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25</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二十五、债务付息支出</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55</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528" w:hRule="atLeast"/>
        </w:trPr>
        <w:tc>
          <w:tcPr>
            <w:tcW w:w="2942"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9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26</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二十六、抗疫特别国债安排的支出</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56</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本年收入合计</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27</w:t>
            </w:r>
          </w:p>
        </w:tc>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2,964.40</w:t>
            </w: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本年支出合计</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57</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2,964.40</w:t>
            </w: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使用非财政拨款结余</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28</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结余分配</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58</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69"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年初结转和结余</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29</w:t>
            </w:r>
          </w:p>
        </w:tc>
        <w:tc>
          <w:tcPr>
            <w:tcW w:w="103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年末结转和结余</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59</w:t>
            </w:r>
          </w:p>
        </w:tc>
        <w:tc>
          <w:tcPr>
            <w:tcW w:w="107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10" w:type="dxa"/>
          </w:tblCellMar>
        </w:tblPrEx>
        <w:trPr>
          <w:trHeight w:val="270" w:hRule="atLeast"/>
        </w:trPr>
        <w:tc>
          <w:tcPr>
            <w:tcW w:w="294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总计</w:t>
            </w:r>
          </w:p>
        </w:tc>
        <w:tc>
          <w:tcPr>
            <w:tcW w:w="6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w:t>
            </w:r>
          </w:p>
        </w:tc>
        <w:tc>
          <w:tcPr>
            <w:tcW w:w="103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2,964.40</w:t>
            </w:r>
          </w:p>
        </w:tc>
        <w:tc>
          <w:tcPr>
            <w:tcW w:w="289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总计</w:t>
            </w:r>
          </w:p>
        </w:tc>
        <w:tc>
          <w:tcPr>
            <w:tcW w:w="68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60</w:t>
            </w:r>
          </w:p>
        </w:tc>
        <w:tc>
          <w:tcPr>
            <w:tcW w:w="107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2,964.40</w:t>
            </w:r>
          </w:p>
        </w:tc>
      </w:tr>
    </w:tbl>
    <w:p>
      <w:pPr>
        <w:spacing w:after="4" w:line="250" w:lineRule="auto"/>
        <w:ind w:left="536" w:hanging="10"/>
      </w:pPr>
      <w:r>
        <w:rPr>
          <w:sz w:val="20"/>
        </w:rPr>
        <w:t>注：本表反映部门本年度的总收支和年末结转结余情况。</w:t>
      </w:r>
    </w:p>
    <w:p>
      <w:pPr>
        <w:spacing w:after="4" w:line="250" w:lineRule="auto"/>
        <w:ind w:left="934" w:hanging="10"/>
      </w:pPr>
      <w:r>
        <w:rPr>
          <w:sz w:val="20"/>
        </w:rPr>
        <w:t>27行＝（1＋2＋3＋4＋5＋6+7+8）行；30行＝（27＋28＋29）行；</w:t>
      </w:r>
    </w:p>
    <w:p>
      <w:pPr>
        <w:spacing w:after="4" w:line="259" w:lineRule="auto"/>
        <w:ind w:left="984" w:hanging="10"/>
      </w:pPr>
      <w:r>
        <w:rPr>
          <w:sz w:val="18"/>
        </w:rPr>
        <w:t>57行＝（31＋32＋…＋56）行； 60行＝（57＋58＋59）行。</w:t>
      </w:r>
    </w:p>
    <w:p>
      <w:pPr>
        <w:spacing w:after="4" w:line="259" w:lineRule="auto"/>
        <w:ind w:left="105" w:firstLine="2904"/>
      </w:pPr>
      <w:r>
        <w:t>2021年度收入决算表（表2）</w:t>
      </w:r>
      <w:r>
        <w:rPr>
          <w:sz w:val="18"/>
        </w:rPr>
        <w:t>部门：武汉市黄陂区人民政府大潭办事处（汇总）</w:t>
      </w:r>
      <w:r>
        <w:rPr>
          <w:sz w:val="18"/>
        </w:rPr>
        <w:tab/>
      </w:r>
      <w:r>
        <w:rPr>
          <w:sz w:val="18"/>
        </w:rPr>
        <w:t>金额单位：万元</w:t>
      </w:r>
    </w:p>
    <w:tbl>
      <w:tblPr>
        <w:tblStyle w:val="8"/>
        <w:tblW w:w="10185" w:type="dxa"/>
        <w:tblInd w:w="12" w:type="dxa"/>
        <w:tblLayout w:type="autofit"/>
        <w:tblCellMar>
          <w:top w:w="35" w:type="dxa"/>
          <w:left w:w="107" w:type="dxa"/>
          <w:bottom w:w="0" w:type="dxa"/>
          <w:right w:w="109" w:type="dxa"/>
        </w:tblCellMar>
      </w:tblPr>
      <w:tblGrid>
        <w:gridCol w:w="1155"/>
        <w:gridCol w:w="2655"/>
        <w:gridCol w:w="1110"/>
        <w:gridCol w:w="1155"/>
        <w:gridCol w:w="900"/>
        <w:gridCol w:w="705"/>
        <w:gridCol w:w="810"/>
        <w:gridCol w:w="825"/>
        <w:gridCol w:w="870"/>
      </w:tblGrid>
      <w:tr>
        <w:tblPrEx>
          <w:tblCellMar>
            <w:top w:w="35" w:type="dxa"/>
            <w:left w:w="107" w:type="dxa"/>
            <w:bottom w:w="0" w:type="dxa"/>
            <w:right w:w="109" w:type="dxa"/>
          </w:tblCellMar>
        </w:tblPrEx>
        <w:trPr>
          <w:trHeight w:val="310" w:hRule="atLeast"/>
        </w:trPr>
        <w:tc>
          <w:tcPr>
            <w:tcW w:w="3810" w:type="dxa"/>
            <w:gridSpan w:val="2"/>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项目</w:t>
            </w:r>
          </w:p>
        </w:tc>
        <w:tc>
          <w:tcPr>
            <w:tcW w:w="111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本年收入合计</w:t>
            </w:r>
          </w:p>
        </w:tc>
        <w:tc>
          <w:tcPr>
            <w:tcW w:w="115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财政拨款收入</w:t>
            </w:r>
          </w:p>
        </w:tc>
        <w:tc>
          <w:tcPr>
            <w:tcW w:w="90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上级补助收入</w:t>
            </w:r>
          </w:p>
        </w:tc>
        <w:tc>
          <w:tcPr>
            <w:tcW w:w="70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事 业收入</w:t>
            </w:r>
          </w:p>
        </w:tc>
        <w:tc>
          <w:tcPr>
            <w:tcW w:w="81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经 营收入</w:t>
            </w:r>
          </w:p>
        </w:tc>
        <w:tc>
          <w:tcPr>
            <w:tcW w:w="82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附属单位上缴收入</w:t>
            </w:r>
          </w:p>
        </w:tc>
        <w:tc>
          <w:tcPr>
            <w:tcW w:w="87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其他收入</w:t>
            </w:r>
          </w:p>
        </w:tc>
      </w:tr>
      <w:tr>
        <w:tblPrEx>
          <w:tblCellMar>
            <w:top w:w="35" w:type="dxa"/>
            <w:left w:w="107" w:type="dxa"/>
            <w:bottom w:w="0" w:type="dxa"/>
            <w:right w:w="109" w:type="dxa"/>
          </w:tblCellMar>
        </w:tblPrEx>
        <w:trPr>
          <w:trHeight w:val="942"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功能分类科目编码</w:t>
            </w:r>
          </w:p>
        </w:tc>
        <w:tc>
          <w:tcPr>
            <w:tcW w:w="26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科目名称</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381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栏次</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w:t>
            </w:r>
          </w:p>
        </w:tc>
        <w:tc>
          <w:tcPr>
            <w:tcW w:w="7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w:t>
            </w:r>
          </w:p>
        </w:tc>
        <w:tc>
          <w:tcPr>
            <w:tcW w:w="8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w:t>
            </w:r>
          </w:p>
        </w:tc>
        <w:tc>
          <w:tcPr>
            <w:tcW w:w="8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6</w:t>
            </w:r>
          </w:p>
        </w:tc>
        <w:tc>
          <w:tcPr>
            <w:tcW w:w="8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w:t>
            </w:r>
          </w:p>
        </w:tc>
      </w:tr>
      <w:tr>
        <w:tblPrEx>
          <w:tblCellMar>
            <w:top w:w="35" w:type="dxa"/>
            <w:left w:w="107" w:type="dxa"/>
            <w:bottom w:w="0" w:type="dxa"/>
            <w:right w:w="109" w:type="dxa"/>
          </w:tblCellMar>
        </w:tblPrEx>
        <w:trPr>
          <w:trHeight w:val="310" w:hRule="atLeast"/>
        </w:trPr>
        <w:tc>
          <w:tcPr>
            <w:tcW w:w="381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合计</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2,964.40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2,964.40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一般公共服务支出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1,146.72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1,146.72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20103</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政府办公厅（室）及相关机构事务</w:t>
            </w:r>
          </w:p>
        </w:tc>
        <w:tc>
          <w:tcPr>
            <w:tcW w:w="1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995.48</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995.48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2010301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行政运行</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759.30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759.30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2010302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一般行政管理事务</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71.18</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71.18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2010399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99"/>
            </w:pPr>
            <w:r>
              <w:rPr>
                <w:sz w:val="20"/>
              </w:rPr>
              <w:t>其他政府办公厅（室）及相关机构事务支出</w:t>
            </w:r>
          </w:p>
        </w:tc>
        <w:tc>
          <w:tcPr>
            <w:tcW w:w="1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165.00</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165.00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财政事务</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130.84</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130.84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2010605</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财政国库业务</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2010650</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事业运行</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128.84</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128.84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20132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组织事务</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15.00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15.00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2013299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其他组织事务支出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15.00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15.00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其他一般公共服务支出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5.40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5.40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2019999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其他一般公共服务支出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5.40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5.40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教育支出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20509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教育费附加安排的支出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2050999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99"/>
              <w:jc w:val="both"/>
            </w:pPr>
            <w:r>
              <w:rPr>
                <w:sz w:val="20"/>
              </w:rPr>
              <w:t>其他教育费附加安排的支出</w:t>
            </w:r>
          </w:p>
        </w:tc>
        <w:tc>
          <w:tcPr>
            <w:tcW w:w="1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3.00</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3.00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文化旅游体育与传媒支出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10.77</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10.77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文化和旅游</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10.77</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10.77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2070109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群众文化</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其他文化和旅游支出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7.77</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7.77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社会保障和就业支出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89.85</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89.85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行政事业单位养老支出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23.90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23.90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行政单位离退休</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13.70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13.70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2080502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事业单位离退休</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10.20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10.20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就业补助</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3.65</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3.65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2080704</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社会保险补贴</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1.11</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2080705</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公益性岗位补贴</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1.92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1.92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其他就业补助支出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0.62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0.62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抚恤</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61.62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61.62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死亡抚恤</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13.55</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13.55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伤残抚恤</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0.38</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0.38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2080804</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优抚事业单位支出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42.11</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42.11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其他优抚支出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5.58</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5.58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其他社会保障和就业支出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0.68</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0.68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08"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2089999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其他社会保障和就业支出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0.68</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0.68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卫生健康支出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117.96</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117.96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行政事业单位医疗</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117.96</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117.96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行政单位医疗</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94.03</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94.03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2101102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事业单位医疗</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23.93</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23.93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526.22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526.22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21203</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城乡社区公共设施</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441.70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441.70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2120303</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小城镇基础设施建设</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441.70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441.70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21205</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城乡社区环境卫生</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84.52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84.52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2120501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城乡社区环境卫生</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84.52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84.52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农林水支出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909.71</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909.71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农业农村</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448.21</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448.21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2130104</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事业运行</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40.96</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40.96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2130119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防灾救灾</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40.00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40.00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2130122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农业生产发展</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74.25</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74.25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2130126</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农村社会事业</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其他农业农村支出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289.00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289.00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21305</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扶贫</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25.00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25.00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2130504</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农村基础设施建设</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25.00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25.00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21307</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农村综合改革</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412.50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412.50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2130705</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99"/>
              <w:jc w:val="both"/>
            </w:pPr>
            <w:r>
              <w:rPr>
                <w:sz w:val="20"/>
              </w:rPr>
              <w:t>对村民委员会和村党支部的补助</w:t>
            </w:r>
          </w:p>
        </w:tc>
        <w:tc>
          <w:tcPr>
            <w:tcW w:w="1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368.48</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368.48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2130799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其他农村综合改革支出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44.02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44.02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其他农林水支出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24.00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24.00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2139999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其他农林水支出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24.00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24.00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住房保障支出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133.17</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133.17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住房改革支出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133.17</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133.17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2210201</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住房公积金</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110.02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110.02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2210202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提租补贴</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23.15</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23.15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灾害防治及应急管理支出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27.00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27.00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22402</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消防事务</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20.00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2240299</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其他消防事务支出</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20.00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22407</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自然灾害救灾及恢复重建支出</w:t>
            </w:r>
          </w:p>
        </w:tc>
        <w:tc>
          <w:tcPr>
            <w:tcW w:w="11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7.00</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7.00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2240703</w:t>
            </w:r>
          </w:p>
        </w:tc>
        <w:tc>
          <w:tcPr>
            <w:tcW w:w="2655"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自然灾害救灾补助</w:t>
            </w:r>
          </w:p>
        </w:tc>
        <w:tc>
          <w:tcPr>
            <w:tcW w:w="11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7.00</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7.00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4" w:line="250" w:lineRule="auto"/>
        <w:ind w:left="115" w:hanging="10"/>
      </w:pPr>
      <w:r>
        <w:rPr>
          <w:sz w:val="20"/>
        </w:rPr>
        <w:t>注：本表反映部门本年度取得的各项收入情况。</w:t>
      </w:r>
    </w:p>
    <w:p>
      <w:pPr>
        <w:spacing w:after="0" w:line="259" w:lineRule="auto"/>
        <w:ind w:left="521" w:right="6115" w:hanging="10"/>
        <w:jc w:val="center"/>
      </w:pPr>
      <w:r>
        <w:rPr>
          <w:sz w:val="18"/>
        </w:rPr>
        <w:t xml:space="preserve">1栏各行＝（2＋3＋4＋5＋6＋7）栏各行。 </w:t>
      </w:r>
      <w:r>
        <w:t>2021年度支出决算表（表3）</w:t>
      </w:r>
      <w:r>
        <w:rPr>
          <w:sz w:val="18"/>
        </w:rPr>
        <w:t>部门：武汉市黄陂区人民政府大潭办事处（汇总）</w:t>
      </w:r>
      <w:r>
        <w:rPr>
          <w:sz w:val="18"/>
        </w:rPr>
        <w:tab/>
      </w:r>
      <w:r>
        <w:rPr>
          <w:sz w:val="18"/>
        </w:rPr>
        <w:t>金额单位：万元</w:t>
      </w:r>
    </w:p>
    <w:tbl>
      <w:tblPr>
        <w:tblStyle w:val="8"/>
        <w:tblW w:w="9720" w:type="dxa"/>
        <w:tblInd w:w="147" w:type="dxa"/>
        <w:tblLayout w:type="autofit"/>
        <w:tblCellMar>
          <w:top w:w="35" w:type="dxa"/>
          <w:left w:w="107" w:type="dxa"/>
          <w:bottom w:w="0" w:type="dxa"/>
          <w:right w:w="109" w:type="dxa"/>
        </w:tblCellMar>
      </w:tblPr>
      <w:tblGrid>
        <w:gridCol w:w="1005"/>
        <w:gridCol w:w="3150"/>
        <w:gridCol w:w="1050"/>
        <w:gridCol w:w="1140"/>
        <w:gridCol w:w="1155"/>
        <w:gridCol w:w="750"/>
        <w:gridCol w:w="645"/>
        <w:gridCol w:w="825"/>
      </w:tblGrid>
      <w:tr>
        <w:tblPrEx>
          <w:tblCellMar>
            <w:top w:w="35" w:type="dxa"/>
            <w:left w:w="107" w:type="dxa"/>
            <w:bottom w:w="0" w:type="dxa"/>
            <w:right w:w="109" w:type="dxa"/>
          </w:tblCellMar>
        </w:tblPrEx>
        <w:trPr>
          <w:trHeight w:val="310" w:hRule="atLeast"/>
        </w:trPr>
        <w:tc>
          <w:tcPr>
            <w:tcW w:w="4155" w:type="dxa"/>
            <w:gridSpan w:val="2"/>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项目</w:t>
            </w:r>
          </w:p>
        </w:tc>
        <w:tc>
          <w:tcPr>
            <w:tcW w:w="105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本年支出合计</w:t>
            </w:r>
          </w:p>
        </w:tc>
        <w:tc>
          <w:tcPr>
            <w:tcW w:w="114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基本支出</w:t>
            </w:r>
          </w:p>
        </w:tc>
        <w:tc>
          <w:tcPr>
            <w:tcW w:w="115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项目支出</w:t>
            </w:r>
          </w:p>
        </w:tc>
        <w:tc>
          <w:tcPr>
            <w:tcW w:w="750"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上 缴上 级支出</w:t>
            </w:r>
          </w:p>
        </w:tc>
        <w:tc>
          <w:tcPr>
            <w:tcW w:w="64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经营支出</w:t>
            </w:r>
          </w:p>
        </w:tc>
        <w:tc>
          <w:tcPr>
            <w:tcW w:w="825"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对附属单位补助支出</w:t>
            </w:r>
          </w:p>
        </w:tc>
      </w:tr>
      <w:tr>
        <w:tblPrEx>
          <w:tblCellMar>
            <w:top w:w="35" w:type="dxa"/>
            <w:left w:w="107" w:type="dxa"/>
            <w:bottom w:w="0" w:type="dxa"/>
            <w:right w:w="109" w:type="dxa"/>
          </w:tblCellMar>
        </w:tblPrEx>
        <w:trPr>
          <w:trHeight w:val="93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功 能 分类 科 目编码</w:t>
            </w:r>
          </w:p>
        </w:tc>
        <w:tc>
          <w:tcPr>
            <w:tcW w:w="31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科目名称</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4155"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栏次</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w:t>
            </w:r>
          </w:p>
        </w:tc>
        <w:tc>
          <w:tcPr>
            <w:tcW w:w="7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w:t>
            </w:r>
          </w:p>
        </w:tc>
        <w:tc>
          <w:tcPr>
            <w:tcW w:w="64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5</w:t>
            </w:r>
          </w:p>
        </w:tc>
        <w:tc>
          <w:tcPr>
            <w:tcW w:w="82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6</w:t>
            </w:r>
          </w:p>
        </w:tc>
      </w:tr>
      <w:tr>
        <w:tblPrEx>
          <w:tblCellMar>
            <w:top w:w="35" w:type="dxa"/>
            <w:left w:w="107" w:type="dxa"/>
            <w:bottom w:w="0" w:type="dxa"/>
            <w:right w:w="109" w:type="dxa"/>
          </w:tblCellMar>
        </w:tblPrEx>
        <w:trPr>
          <w:trHeight w:val="310" w:hRule="atLeast"/>
        </w:trPr>
        <w:tc>
          <w:tcPr>
            <w:tcW w:w="4155"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合计</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2,964.40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1,224.79</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1,739.61</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一般公共服务支出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1,146.72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888.14</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258.58</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20103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政府办公厅（室）及相关机构事务</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995.48</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759.30</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236.18</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2010301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行政运行</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759.30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759.30</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2010302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一般行政管理事务</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71.18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71.18</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2010399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99"/>
            </w:pPr>
            <w:r>
              <w:rPr>
                <w:sz w:val="20"/>
              </w:rPr>
              <w:t>其他政府办公厅（室）及相关机构事务支出</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165.00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165.00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财政事务</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130.84</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128.84</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财政国库业务</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2010650</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事业运行</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128.84</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128.84</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20132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组织事务</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15.00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2013299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其他组织事务支出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15.00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其他一般公共服务支出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5.40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5.40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2019999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其他一般公共服务支出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5.40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5.40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教育支出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20509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教育费附加安排的支出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2050999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其他教育费附加安排的支出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文化旅游体育与传媒支出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10.77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10.77</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文化和旅游</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10.77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10.77</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2070109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群众文化</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其他文化和旅游支出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7.77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7.77</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社会保障和就业支出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89.85</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85.52</w:t>
            </w: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4.33</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行政事业单位养老支出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23.90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23.90</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行政单位离退休</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13.70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13.70</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事业单位离退休</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10.20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10.20</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就业补助</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3.65</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3.65</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社会保险补贴</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1.11</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公益性岗位补贴</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1.92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1.92</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其他就业补助支出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0.62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0.62</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抚恤</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61.62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61.62</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死亡抚恤</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13.55</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13.55</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伤残抚恤</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0.38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0.38</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优抚事业单位支出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42.11</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42.11</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其他优抚支出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5.58</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5.58</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其他社会保障和就业支出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0.68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0.68</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2089999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其他社会保障和就业支出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0.68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0.68</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08"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卫生健康支出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117.96</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117.96</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行政事业单位医疗</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117.96</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117.96</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行政单位医疗</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94.03</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事业单位医疗</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23.93</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23.93</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526.22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526.22</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城乡社区公共设施</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441.70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441.70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2120303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小城镇基础设施建设</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441.70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441.70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城乡社区环境卫生</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84.52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84.52</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2120501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城乡社区环境卫生</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84.52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84.52</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农林水支出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909.71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909.71</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农业农村</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448.21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448.21</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事业运行</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40.96</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40.96</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2130119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防灾救灾</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40.00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40.00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2130122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农业生产发展</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74.25</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74.25</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2130126</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农村社会事业</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其他农业农村支出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289.00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289.00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扶贫</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25.00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2130504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农村基础设施建设</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25.00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25.00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农村综合改革</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412.50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412.50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529"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2130705</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99"/>
              <w:jc w:val="both"/>
            </w:pPr>
            <w:r>
              <w:rPr>
                <w:sz w:val="20"/>
              </w:rPr>
              <w:t>对村民委员会和村党支部的补助</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368.48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368.48</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2130799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其他农村综合改革支出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44.02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44.02</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其他农林水支出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24.00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24.00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2139999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其他农林水支出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24.00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24.00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住房保障支出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133.17</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133.17</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住房改革支出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133.17</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133.17</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2210201</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住房公积金</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110.02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110.02</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提租补贴</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23.15</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23.15</w:t>
            </w:r>
          </w:p>
        </w:tc>
        <w:tc>
          <w:tcPr>
            <w:tcW w:w="11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灾害防治及应急管理支出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27.00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27.00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22402</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消防事务</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20.00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2240299</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其他消防事务支出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20.00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22407</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自然灾害救灾及恢复重建支出</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5" w:type="dxa"/>
            <w:left w:w="107" w:type="dxa"/>
            <w:bottom w:w="0" w:type="dxa"/>
            <w:right w:w="109" w:type="dxa"/>
          </w:tblCellMar>
        </w:tblPrEx>
        <w:trPr>
          <w:trHeight w:val="310" w:hRule="atLeast"/>
        </w:trPr>
        <w:tc>
          <w:tcPr>
            <w:tcW w:w="100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2240703</w:t>
            </w:r>
          </w:p>
        </w:tc>
        <w:tc>
          <w:tcPr>
            <w:tcW w:w="315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自然灾害救灾补助</w:t>
            </w:r>
          </w:p>
        </w:tc>
        <w:tc>
          <w:tcPr>
            <w:tcW w:w="10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7.00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7.00</w:t>
            </w:r>
          </w:p>
        </w:tc>
        <w:tc>
          <w:tcPr>
            <w:tcW w:w="7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2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0" w:line="300" w:lineRule="auto"/>
        <w:ind w:left="0" w:right="6265" w:firstLine="0"/>
        <w:jc w:val="right"/>
      </w:pPr>
      <w:r>
        <w:rPr>
          <w:sz w:val="20"/>
        </w:rPr>
        <w:t xml:space="preserve">注：本表反映部门本年度各项支出情况。 </w:t>
      </w:r>
      <w:r>
        <w:rPr>
          <w:sz w:val="18"/>
        </w:rPr>
        <w:t>1栏各行＝（2＋3＋4＋5＋6）栏各行。</w:t>
      </w:r>
    </w:p>
    <w:p>
      <w:pPr>
        <w:spacing w:after="0" w:line="259" w:lineRule="auto"/>
        <w:ind w:left="272" w:firstLine="0"/>
        <w:jc w:val="center"/>
      </w:pPr>
      <w:r>
        <w:t>2021年度财政拨款收入支出决算总表（表4）</w:t>
      </w:r>
      <w:r>
        <w:rPr>
          <w:sz w:val="16"/>
        </w:rPr>
        <w:t>部门：武汉市黄陂区人民政府大潭办事处（汇总）</w:t>
      </w:r>
      <w:r>
        <w:rPr>
          <w:sz w:val="16"/>
        </w:rPr>
        <w:tab/>
      </w:r>
      <w:r>
        <w:rPr>
          <w:sz w:val="16"/>
        </w:rPr>
        <w:t>金额单位：万元</w:t>
      </w:r>
    </w:p>
    <w:tbl>
      <w:tblPr>
        <w:tblStyle w:val="8"/>
        <w:tblW w:w="9990" w:type="dxa"/>
        <w:tblInd w:w="237" w:type="dxa"/>
        <w:tblLayout w:type="autofit"/>
        <w:tblCellMar>
          <w:top w:w="27" w:type="dxa"/>
          <w:left w:w="107" w:type="dxa"/>
          <w:bottom w:w="28" w:type="dxa"/>
          <w:right w:w="106" w:type="dxa"/>
        </w:tblCellMar>
      </w:tblPr>
      <w:tblGrid>
        <w:gridCol w:w="2415"/>
        <w:gridCol w:w="555"/>
        <w:gridCol w:w="900"/>
        <w:gridCol w:w="2520"/>
        <w:gridCol w:w="450"/>
        <w:gridCol w:w="900"/>
        <w:gridCol w:w="885"/>
        <w:gridCol w:w="705"/>
        <w:gridCol w:w="660"/>
      </w:tblGrid>
      <w:tr>
        <w:tblPrEx>
          <w:tblCellMar>
            <w:top w:w="27" w:type="dxa"/>
            <w:left w:w="107" w:type="dxa"/>
            <w:bottom w:w="28" w:type="dxa"/>
            <w:right w:w="106" w:type="dxa"/>
          </w:tblCellMar>
        </w:tblPrEx>
        <w:trPr>
          <w:trHeight w:val="530" w:hRule="atLeast"/>
        </w:trPr>
        <w:tc>
          <w:tcPr>
            <w:tcW w:w="3870" w:type="dxa"/>
            <w:gridSpan w:val="3"/>
            <w:tcBorders>
              <w:top w:val="single" w:color="808080" w:sz="4" w:space="0"/>
              <w:left w:val="single" w:color="000000" w:sz="4" w:space="0"/>
              <w:bottom w:val="single" w:color="000000" w:sz="4" w:space="0"/>
              <w:right w:val="single" w:color="000000" w:sz="4" w:space="0"/>
            </w:tcBorders>
            <w:vAlign w:val="center"/>
          </w:tcPr>
          <w:p>
            <w:pPr>
              <w:tabs>
                <w:tab w:val="center" w:pos="641"/>
              </w:tabs>
              <w:spacing w:after="0" w:line="259" w:lineRule="auto"/>
              <w:ind w:left="0" w:firstLine="0"/>
            </w:pPr>
            <w:r>
              <w:rPr>
                <w:sz w:val="16"/>
              </w:rPr>
              <w:t>收</w:t>
            </w:r>
            <w:r>
              <w:rPr>
                <w:sz w:val="16"/>
              </w:rPr>
              <w:tab/>
            </w:r>
            <w:r>
              <w:rPr>
                <w:sz w:val="16"/>
              </w:rPr>
              <w:t>入</w:t>
            </w:r>
          </w:p>
        </w:tc>
        <w:tc>
          <w:tcPr>
            <w:tcW w:w="6120" w:type="dxa"/>
            <w:gridSpan w:val="6"/>
            <w:tcBorders>
              <w:top w:val="single" w:color="808080" w:sz="4" w:space="0"/>
              <w:left w:val="single" w:color="000000" w:sz="4" w:space="0"/>
              <w:bottom w:val="single" w:color="000000" w:sz="4" w:space="0"/>
              <w:right w:val="single" w:color="000000" w:sz="4" w:space="0"/>
            </w:tcBorders>
            <w:vAlign w:val="center"/>
          </w:tcPr>
          <w:p>
            <w:pPr>
              <w:tabs>
                <w:tab w:val="center" w:pos="640"/>
              </w:tabs>
              <w:spacing w:after="0" w:line="259" w:lineRule="auto"/>
              <w:ind w:left="0" w:firstLine="0"/>
            </w:pPr>
            <w:r>
              <w:rPr>
                <w:sz w:val="16"/>
              </w:rPr>
              <w:t>支</w:t>
            </w:r>
            <w:r>
              <w:rPr>
                <w:sz w:val="16"/>
              </w:rPr>
              <w:tab/>
            </w:r>
            <w:r>
              <w:rPr>
                <w:sz w:val="16"/>
              </w:rPr>
              <w:t>出</w:t>
            </w:r>
          </w:p>
        </w:tc>
      </w:tr>
      <w:tr>
        <w:tblPrEx>
          <w:tblCellMar>
            <w:top w:w="27" w:type="dxa"/>
            <w:left w:w="107" w:type="dxa"/>
            <w:bottom w:w="28" w:type="dxa"/>
            <w:right w:w="106" w:type="dxa"/>
          </w:tblCellMar>
        </w:tblPrEx>
        <w:trPr>
          <w:trHeight w:val="1255" w:hRule="atLeast"/>
        </w:trPr>
        <w:tc>
          <w:tcPr>
            <w:tcW w:w="24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项目</w:t>
            </w:r>
          </w:p>
        </w:tc>
        <w:tc>
          <w:tcPr>
            <w:tcW w:w="5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16"/>
              </w:rPr>
              <w:t>行次</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金额</w:t>
            </w:r>
          </w:p>
        </w:tc>
        <w:tc>
          <w:tcPr>
            <w:tcW w:w="2520"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 w:firstLine="0"/>
            </w:pPr>
            <w:r>
              <w:rPr>
                <w:sz w:val="16"/>
              </w:rPr>
              <w:t>项目</w:t>
            </w:r>
          </w:p>
        </w:tc>
        <w:tc>
          <w:tcPr>
            <w:tcW w:w="4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行次</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合计</w:t>
            </w:r>
          </w:p>
        </w:tc>
        <w:tc>
          <w:tcPr>
            <w:tcW w:w="88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一般公共预算财政拨款</w:t>
            </w:r>
          </w:p>
        </w:tc>
        <w:tc>
          <w:tcPr>
            <w:tcW w:w="7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政府性基金预算财政拨款</w:t>
            </w:r>
          </w:p>
        </w:tc>
        <w:tc>
          <w:tcPr>
            <w:tcW w:w="6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国 有资 本经 营预 算财 政拨款</w:t>
            </w: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栏次</w:t>
            </w:r>
          </w:p>
        </w:tc>
        <w:tc>
          <w:tcPr>
            <w:tcW w:w="55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w:t>
            </w: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栏次</w:t>
            </w:r>
          </w:p>
        </w:tc>
        <w:tc>
          <w:tcPr>
            <w:tcW w:w="4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w:t>
            </w:r>
          </w:p>
        </w:tc>
        <w:tc>
          <w:tcPr>
            <w:tcW w:w="88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w:t>
            </w:r>
          </w:p>
        </w:tc>
        <w:tc>
          <w:tcPr>
            <w:tcW w:w="7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16"/>
              </w:rPr>
              <w:t>4</w:t>
            </w:r>
          </w:p>
        </w:tc>
        <w:tc>
          <w:tcPr>
            <w:tcW w:w="66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w:t>
            </w: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一、一般公共预算财政拨款</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2,964.40</w:t>
            </w: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一、一般公共服务支出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二、政府性基金预算财政拨款</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二、外交支出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三、国有资本经营财政拨款</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三、国防支出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四、公共安全支出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五、教育支出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六、科学技术支出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七、文化旅游体育与传媒支出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八、社会保障和就业支出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九、卫生健康支出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十、节能环保支出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十一、城乡社区支出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十二、农林水支出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十三、交通运输支出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十四、资源勘探工业信息等支出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十五、商业服务业等支出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十六、金融支出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十七、援助其他地区支出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十八、自然资源海洋气象等支出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十九、住房保障支出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二十、粮油物资储备支出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二十一、国有资本经营预算支出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425"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22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二十二、灾害防治及应急管理支出</w:t>
            </w:r>
          </w:p>
        </w:tc>
        <w:tc>
          <w:tcPr>
            <w:tcW w:w="4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54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二十三、其他支出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24</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二十四、债务还本支出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25</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二十五、债务付息支出</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57</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425" w:hRule="atLeast"/>
        </w:trPr>
        <w:tc>
          <w:tcPr>
            <w:tcW w:w="24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26</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二十六、抗疫特别国债安排的支出</w:t>
            </w:r>
          </w:p>
        </w:tc>
        <w:tc>
          <w:tcPr>
            <w:tcW w:w="4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58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本年收入合计</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27</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2,964.40</w:t>
            </w: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本年支出合计</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59</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2,964.40</w:t>
            </w:r>
          </w:p>
        </w:tc>
        <w:tc>
          <w:tcPr>
            <w:tcW w:w="88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2,964.40</w:t>
            </w: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年初财政拨款结转和结余</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28</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年末财政拨款结转和结余</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60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一般公共预算财政拨款</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29</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61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政府性基金预算财政拨款</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62</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国有资本经营预算财政拨款</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31</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52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63</w:t>
            </w:r>
          </w:p>
        </w:tc>
        <w:tc>
          <w:tcPr>
            <w:tcW w:w="90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8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7" w:type="dxa"/>
            <w:left w:w="107" w:type="dxa"/>
            <w:bottom w:w="28" w:type="dxa"/>
            <w:right w:w="106" w:type="dxa"/>
          </w:tblCellMar>
        </w:tblPrEx>
        <w:trPr>
          <w:trHeight w:val="310" w:hRule="atLeast"/>
        </w:trPr>
        <w:tc>
          <w:tcPr>
            <w:tcW w:w="241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总计</w:t>
            </w:r>
          </w:p>
        </w:tc>
        <w:tc>
          <w:tcPr>
            <w:tcW w:w="55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32</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2,964.40</w:t>
            </w:r>
          </w:p>
        </w:tc>
        <w:tc>
          <w:tcPr>
            <w:tcW w:w="252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总计</w:t>
            </w:r>
          </w:p>
        </w:tc>
        <w:tc>
          <w:tcPr>
            <w:tcW w:w="45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64</w:t>
            </w:r>
          </w:p>
        </w:tc>
        <w:tc>
          <w:tcPr>
            <w:tcW w:w="900"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2,964.40</w:t>
            </w:r>
          </w:p>
        </w:tc>
        <w:tc>
          <w:tcPr>
            <w:tcW w:w="88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2,964.40</w:t>
            </w:r>
          </w:p>
        </w:tc>
        <w:tc>
          <w:tcPr>
            <w:tcW w:w="7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6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53" w:line="239" w:lineRule="auto"/>
        <w:ind w:left="346" w:right="17" w:firstLine="0"/>
      </w:pPr>
      <w:r>
        <w:rPr>
          <w:sz w:val="16"/>
        </w:rPr>
        <w:t>注：本表反映部门本年度一般公共预算财政拨款、政府性基金预算财政拨款和国有资本经营预算财政拨款的总收支和年末结转结余情况。</w:t>
      </w:r>
    </w:p>
    <w:p>
      <w:pPr>
        <w:spacing w:after="4" w:line="259" w:lineRule="auto"/>
        <w:ind w:left="716" w:hanging="10"/>
      </w:pPr>
      <w:r>
        <w:rPr>
          <w:sz w:val="18"/>
        </w:rPr>
        <w:t xml:space="preserve">27行＝（1＋2+3）行；28行＝（29＋30+31）行；32行＝（27＋28）行； </w:t>
      </w:r>
      <w:r>
        <w:t>2021年度一般公共预算财政拨款支出决算表（表5）</w:t>
      </w:r>
      <w:r>
        <w:rPr>
          <w:sz w:val="18"/>
        </w:rPr>
        <w:t>部门：武汉市黄陂区人民政府大潭办事处（汇总）</w:t>
      </w:r>
      <w:r>
        <w:rPr>
          <w:sz w:val="18"/>
        </w:rPr>
        <w:tab/>
      </w:r>
      <w:r>
        <w:rPr>
          <w:sz w:val="18"/>
        </w:rPr>
        <w:t>金额单位：万元</w:t>
      </w:r>
    </w:p>
    <w:tbl>
      <w:tblPr>
        <w:tblStyle w:val="8"/>
        <w:tblW w:w="8698" w:type="dxa"/>
        <w:tblInd w:w="722" w:type="dxa"/>
        <w:tblLayout w:type="autofit"/>
        <w:tblCellMar>
          <w:top w:w="36" w:type="dxa"/>
          <w:left w:w="108" w:type="dxa"/>
          <w:bottom w:w="0" w:type="dxa"/>
          <w:right w:w="108" w:type="dxa"/>
        </w:tblCellMar>
      </w:tblPr>
      <w:tblGrid>
        <w:gridCol w:w="1510"/>
        <w:gridCol w:w="3470"/>
        <w:gridCol w:w="1273"/>
        <w:gridCol w:w="1305"/>
        <w:gridCol w:w="1140"/>
      </w:tblGrid>
      <w:tr>
        <w:tblPrEx>
          <w:tblCellMar>
            <w:top w:w="36" w:type="dxa"/>
            <w:left w:w="108" w:type="dxa"/>
            <w:bottom w:w="0" w:type="dxa"/>
            <w:right w:w="108" w:type="dxa"/>
          </w:tblCellMar>
        </w:tblPrEx>
        <w:trPr>
          <w:trHeight w:val="310" w:hRule="atLeast"/>
        </w:trPr>
        <w:tc>
          <w:tcPr>
            <w:tcW w:w="4980" w:type="dxa"/>
            <w:gridSpan w:val="2"/>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项目</w:t>
            </w:r>
          </w:p>
        </w:tc>
        <w:tc>
          <w:tcPr>
            <w:tcW w:w="3718"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本年支出</w:t>
            </w:r>
          </w:p>
        </w:tc>
      </w:tr>
      <w:tr>
        <w:tblPrEx>
          <w:tblCellMar>
            <w:top w:w="36" w:type="dxa"/>
            <w:left w:w="108" w:type="dxa"/>
            <w:bottom w:w="0" w:type="dxa"/>
            <w:right w:w="108" w:type="dxa"/>
          </w:tblCellMar>
        </w:tblPrEx>
        <w:trPr>
          <w:trHeight w:val="900"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功能分类科目编码</w:t>
            </w:r>
          </w:p>
        </w:tc>
        <w:tc>
          <w:tcPr>
            <w:tcW w:w="347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科目名称</w:t>
            </w:r>
          </w:p>
        </w:tc>
        <w:tc>
          <w:tcPr>
            <w:tcW w:w="127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小计</w:t>
            </w:r>
          </w:p>
        </w:tc>
        <w:tc>
          <w:tcPr>
            <w:tcW w:w="130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基本支出</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项目支出</w:t>
            </w:r>
          </w:p>
        </w:tc>
      </w:tr>
      <w:tr>
        <w:tblPrEx>
          <w:tblCellMar>
            <w:top w:w="36" w:type="dxa"/>
            <w:left w:w="108" w:type="dxa"/>
            <w:bottom w:w="0" w:type="dxa"/>
            <w:right w:w="108" w:type="dxa"/>
          </w:tblCellMar>
        </w:tblPrEx>
        <w:trPr>
          <w:trHeight w:val="310" w:hRule="atLeast"/>
        </w:trPr>
        <w:tc>
          <w:tcPr>
            <w:tcW w:w="498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栏次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1</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3</w:t>
            </w:r>
          </w:p>
        </w:tc>
      </w:tr>
      <w:tr>
        <w:tblPrEx>
          <w:tblCellMar>
            <w:top w:w="36" w:type="dxa"/>
            <w:left w:w="108" w:type="dxa"/>
            <w:bottom w:w="0" w:type="dxa"/>
            <w:right w:w="108" w:type="dxa"/>
          </w:tblCellMar>
        </w:tblPrEx>
        <w:trPr>
          <w:trHeight w:val="310" w:hRule="atLeast"/>
        </w:trPr>
        <w:tc>
          <w:tcPr>
            <w:tcW w:w="498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合计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2,964.40</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1,224.79</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1,739.61</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一般公共服务支出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1,146.72</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888.14</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258.58</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20103</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政府办公厅（室）及相关机构事务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995.48</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759.30</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236.18</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2010301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行政运行</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759.30</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759.30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2010302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一般行政管理事务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71.18</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71.18</w:t>
            </w:r>
          </w:p>
        </w:tc>
      </w:tr>
      <w:tr>
        <w:tblPrEx>
          <w:tblCellMar>
            <w:top w:w="36" w:type="dxa"/>
            <w:left w:w="108" w:type="dxa"/>
            <w:bottom w:w="0" w:type="dxa"/>
            <w:right w:w="108" w:type="dxa"/>
          </w:tblCellMar>
        </w:tblPrEx>
        <w:trPr>
          <w:trHeight w:val="529"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2010399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99"/>
              <w:jc w:val="both"/>
            </w:pPr>
            <w:r>
              <w:rPr>
                <w:sz w:val="20"/>
              </w:rPr>
              <w:t>其他政府办公厅（室）及相关机构事务支出</w:t>
            </w:r>
          </w:p>
        </w:tc>
        <w:tc>
          <w:tcPr>
            <w:tcW w:w="127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2"/>
              </w:rPr>
              <w:t>165.00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2"/>
              </w:rPr>
              <w:t>165.00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财政事务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130.84</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128.84</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2010605</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财政国库业务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2010650</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事业运行</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128.84</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128.84</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20132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组织事务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15.00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15.00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2013299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其他组织事务支出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15.00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15.00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其他一般公共服务支出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5.40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5.40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2019999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其他一般公共服务支出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5.40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5.40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教育支出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20509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教育费附加安排的支出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2050999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其他教育费附加安排的支出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文化旅游体育与传媒支出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10.77</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10.77</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文化和旅游</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10.77</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10.77</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2070109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群众文化</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2070199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其他文化和旅游支出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7.77</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7.77</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社会保障和就业支出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89.85</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85.52</w:t>
            </w: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4.33</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行政事业单位养老支出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23.90</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23.90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行政单位离退休</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13.70</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13.70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2080502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事业单位离退休</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10.20</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10.20</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就业补助</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3.65</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3.65</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2080704</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社会保险补贴</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1.11</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1.11</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2080705</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公益性岗位补贴</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1.92</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1.92</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2080799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其他就业补助支出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0.62</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0.62</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抚恤</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61.62</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61.62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死亡抚恤</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13.55</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13.55</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伤残抚恤</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0.38</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0.38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2080804</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优抚事业单位支出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42.11</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42.11</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2080899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其他优抚支出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5.58</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5.58</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其他社会保障和就业支出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0.68</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0.68</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2089999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其他社会保障和就业支出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0.68</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0.68</w:t>
            </w:r>
          </w:p>
        </w:tc>
      </w:tr>
      <w:tr>
        <w:tblPrEx>
          <w:tblCellMar>
            <w:top w:w="36" w:type="dxa"/>
            <w:left w:w="108" w:type="dxa"/>
            <w:bottom w:w="0" w:type="dxa"/>
            <w:right w:w="108" w:type="dxa"/>
          </w:tblCellMar>
        </w:tblPrEx>
        <w:trPr>
          <w:trHeight w:val="308"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卫生健康支出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117.96</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117.96</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行政事业单位医疗</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117.96</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117.96</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行政单位医疗</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94.03</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94.03</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2101102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事业单位医疗</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23.93</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23.93</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526.22</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526.22</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21203</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城乡社区公共设施</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441.70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441.70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2120303</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小城镇基础设施建设</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441.70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441.70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21205</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城乡社区环境卫生</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84.52</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84.52</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2120501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城乡社区环境卫生</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84.52</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84.52</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农林水支出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909.71</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909.71</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农业农村</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448.21</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448.21</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2130104</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事业运行</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40.96</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40.96</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2130119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防灾救灾</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40.00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40.00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2130122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农业生产发展</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74.25</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74.25</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2130126</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农村社会事业</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2130199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其他农业农村支出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289.00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289.00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21305</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扶贫</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25.00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25.00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2130504</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农村基础设施建设</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25.00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25.00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21307</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农村综合改革</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412.50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412.50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2130705</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对村民委员会和村党支部的补助</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368.48</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368.48</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2130799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其他农村综合改革支出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44.02</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44.02</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其他农林水支出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24.00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24.00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2139999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其他农林水支出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24.00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24.00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住房保障支出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133.17</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133.17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住房改革支出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133.17</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133.17</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2210201</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住房公积金</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110.02</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110.02</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2210202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提租补贴</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23.15</w:t>
            </w:r>
          </w:p>
        </w:tc>
        <w:tc>
          <w:tcPr>
            <w:tcW w:w="130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2"/>
              </w:rPr>
              <w:t>23.15</w:t>
            </w:r>
          </w:p>
        </w:tc>
        <w:tc>
          <w:tcPr>
            <w:tcW w:w="11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灾害防治及应急管理支出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27.00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27.00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22402</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消防事务</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20.00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20.00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2240299</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其他消防事务支出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20.00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20.00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22407</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自然灾害救灾及恢复重建支出</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7.00</w:t>
            </w:r>
          </w:p>
        </w:tc>
      </w:tr>
      <w:tr>
        <w:tblPrEx>
          <w:tblCellMar>
            <w:top w:w="36" w:type="dxa"/>
            <w:left w:w="108" w:type="dxa"/>
            <w:bottom w:w="0" w:type="dxa"/>
            <w:right w:w="108" w:type="dxa"/>
          </w:tblCellMar>
        </w:tblPrEx>
        <w:trPr>
          <w:trHeight w:val="310" w:hRule="atLeast"/>
        </w:trPr>
        <w:tc>
          <w:tcPr>
            <w:tcW w:w="151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2240703</w:t>
            </w:r>
          </w:p>
        </w:tc>
        <w:tc>
          <w:tcPr>
            <w:tcW w:w="3470" w:type="dxa"/>
            <w:tcBorders>
              <w:top w:val="single" w:color="000000" w:sz="4" w:space="0"/>
              <w:left w:val="single" w:color="000000" w:sz="4" w:space="0"/>
              <w:bottom w:val="single" w:color="000000" w:sz="4" w:space="0"/>
              <w:right w:val="single" w:color="000000" w:sz="4" w:space="0"/>
            </w:tcBorders>
          </w:tcPr>
          <w:p>
            <w:pPr>
              <w:spacing w:after="0" w:line="259" w:lineRule="auto"/>
              <w:ind w:left="200" w:firstLine="0"/>
            </w:pPr>
            <w:r>
              <w:rPr>
                <w:sz w:val="20"/>
              </w:rPr>
              <w:t>自然灾害救灾补助</w:t>
            </w:r>
          </w:p>
        </w:tc>
        <w:tc>
          <w:tcPr>
            <w:tcW w:w="1273"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7.00</w:t>
            </w:r>
          </w:p>
        </w:tc>
        <w:tc>
          <w:tcPr>
            <w:tcW w:w="130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2"/>
              </w:rPr>
              <w:t>7.00</w:t>
            </w:r>
          </w:p>
        </w:tc>
      </w:tr>
    </w:tbl>
    <w:p>
      <w:pPr>
        <w:spacing w:after="4" w:line="250" w:lineRule="auto"/>
        <w:ind w:left="840" w:hanging="10"/>
      </w:pPr>
      <w:r>
        <w:rPr>
          <w:sz w:val="20"/>
        </w:rPr>
        <w:t>注：本表反映部门本年度一般公共预算财政拨款支出情况。</w:t>
      </w:r>
    </w:p>
    <w:p>
      <w:pPr>
        <w:spacing w:after="4" w:line="259" w:lineRule="auto"/>
        <w:ind w:left="1200" w:hanging="10"/>
      </w:pPr>
      <w:r>
        <w:rPr>
          <w:sz w:val="18"/>
        </w:rPr>
        <w:t xml:space="preserve">1栏各行＝（2＋3）栏各行。 </w:t>
      </w:r>
      <w:r>
        <w:t>2021年度一般公共预算财政拨款基本支出决算明细表（表6）</w:t>
      </w:r>
      <w:r>
        <w:rPr>
          <w:sz w:val="18"/>
        </w:rPr>
        <w:t>部门：武汉市黄陂区人民政府大潭办事处（汇总）</w:t>
      </w:r>
      <w:r>
        <w:rPr>
          <w:sz w:val="18"/>
        </w:rPr>
        <w:tab/>
      </w:r>
      <w:r>
        <w:rPr>
          <w:sz w:val="18"/>
        </w:rPr>
        <w:t>金额单位：万元</w:t>
      </w:r>
    </w:p>
    <w:tbl>
      <w:tblPr>
        <w:tblStyle w:val="8"/>
        <w:tblW w:w="10287" w:type="dxa"/>
        <w:tblInd w:w="-108" w:type="dxa"/>
        <w:tblLayout w:type="autofit"/>
        <w:tblCellMar>
          <w:top w:w="29" w:type="dxa"/>
          <w:left w:w="107" w:type="dxa"/>
          <w:bottom w:w="0" w:type="dxa"/>
          <w:right w:w="106" w:type="dxa"/>
        </w:tblCellMar>
      </w:tblPr>
      <w:tblGrid>
        <w:gridCol w:w="764"/>
        <w:gridCol w:w="2640"/>
        <w:gridCol w:w="944"/>
        <w:gridCol w:w="629"/>
        <w:gridCol w:w="1754"/>
        <w:gridCol w:w="824"/>
        <w:gridCol w:w="644"/>
        <w:gridCol w:w="1319"/>
        <w:gridCol w:w="769"/>
      </w:tblGrid>
      <w:tr>
        <w:tblPrEx>
          <w:tblCellMar>
            <w:top w:w="29" w:type="dxa"/>
            <w:left w:w="107" w:type="dxa"/>
            <w:bottom w:w="0" w:type="dxa"/>
            <w:right w:w="106" w:type="dxa"/>
          </w:tblCellMar>
        </w:tblPrEx>
        <w:trPr>
          <w:trHeight w:val="310" w:hRule="atLeast"/>
        </w:trPr>
        <w:tc>
          <w:tcPr>
            <w:tcW w:w="4348" w:type="dxa"/>
            <w:gridSpan w:val="3"/>
            <w:tcBorders>
              <w:top w:val="single" w:color="808080" w:sz="4" w:space="0"/>
              <w:left w:val="single" w:color="000000" w:sz="4" w:space="0"/>
              <w:bottom w:val="single" w:color="000000" w:sz="4" w:space="0"/>
              <w:right w:val="single" w:color="000000" w:sz="4" w:space="0"/>
            </w:tcBorders>
          </w:tcPr>
          <w:p>
            <w:pPr>
              <w:spacing w:after="0" w:line="259" w:lineRule="auto"/>
              <w:ind w:left="1" w:firstLine="0"/>
            </w:pPr>
            <w:r>
              <w:rPr>
                <w:sz w:val="20"/>
              </w:rPr>
              <w:t>人员经费</w:t>
            </w:r>
          </w:p>
        </w:tc>
        <w:tc>
          <w:tcPr>
            <w:tcW w:w="5939" w:type="dxa"/>
            <w:gridSpan w:val="6"/>
            <w:tcBorders>
              <w:top w:val="single" w:color="808080" w:sz="4" w:space="0"/>
              <w:left w:val="single" w:color="000000" w:sz="4" w:space="0"/>
              <w:bottom w:val="single" w:color="000000" w:sz="4" w:space="0"/>
              <w:right w:val="single" w:color="000000" w:sz="4" w:space="0"/>
            </w:tcBorders>
          </w:tcPr>
          <w:p>
            <w:pPr>
              <w:spacing w:after="0" w:line="259" w:lineRule="auto"/>
              <w:ind w:left="2" w:firstLine="0"/>
            </w:pPr>
            <w:r>
              <w:rPr>
                <w:sz w:val="20"/>
              </w:rPr>
              <w:t>公用经费</w:t>
            </w:r>
          </w:p>
        </w:tc>
      </w:tr>
      <w:tr>
        <w:tblPrEx>
          <w:tblCellMar>
            <w:top w:w="29" w:type="dxa"/>
            <w:left w:w="107" w:type="dxa"/>
            <w:bottom w:w="0" w:type="dxa"/>
            <w:right w:w="106" w:type="dxa"/>
          </w:tblCellMar>
        </w:tblPrEx>
        <w:trPr>
          <w:trHeight w:val="62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科目编码</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科目名称</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决算数</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科 目编码</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科目名称</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决算数</w:t>
            </w:r>
          </w:p>
        </w:tc>
        <w:tc>
          <w:tcPr>
            <w:tcW w:w="6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科 目编码</w:t>
            </w:r>
          </w:p>
        </w:tc>
        <w:tc>
          <w:tcPr>
            <w:tcW w:w="131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科目名称</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决算数</w:t>
            </w: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工资福利支出</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1,060.38</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商品和服务支出</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105.92</w:t>
            </w:r>
          </w:p>
        </w:tc>
        <w:tc>
          <w:tcPr>
            <w:tcW w:w="6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310</w:t>
            </w:r>
          </w:p>
        </w:tc>
        <w:tc>
          <w:tcPr>
            <w:tcW w:w="131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资本性支出</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15.08</w:t>
            </w: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30101</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基本工资</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145.99</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30201</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办公费</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0.67</w:t>
            </w:r>
          </w:p>
        </w:tc>
        <w:tc>
          <w:tcPr>
            <w:tcW w:w="6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31002</w:t>
            </w:r>
          </w:p>
        </w:tc>
        <w:tc>
          <w:tcPr>
            <w:tcW w:w="131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61"/>
              <w:jc w:val="both"/>
            </w:pPr>
            <w:r>
              <w:rPr>
                <w:sz w:val="16"/>
              </w:rPr>
              <w:t>办公设备购置</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15.08</w:t>
            </w: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30102</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津贴补贴</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600.83</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30202</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印刷费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31003</w:t>
            </w:r>
          </w:p>
        </w:tc>
        <w:tc>
          <w:tcPr>
            <w:tcW w:w="131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61"/>
              <w:jc w:val="both"/>
            </w:pPr>
            <w:r>
              <w:rPr>
                <w:sz w:val="16"/>
              </w:rPr>
              <w:t>专用设备购置</w:t>
            </w: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30103</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奖金</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9.97</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30203</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咨询费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31007</w:t>
            </w:r>
          </w:p>
        </w:tc>
        <w:tc>
          <w:tcPr>
            <w:tcW w:w="131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61"/>
            </w:pPr>
            <w:r>
              <w:rPr>
                <w:sz w:val="16"/>
              </w:rPr>
              <w:t>信息网络及软件购置更新</w:t>
            </w: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30106</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伙食补助费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30204</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手续费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31013</w:t>
            </w:r>
          </w:p>
        </w:tc>
        <w:tc>
          <w:tcPr>
            <w:tcW w:w="131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61"/>
              <w:jc w:val="both"/>
            </w:pPr>
            <w:r>
              <w:rPr>
                <w:sz w:val="16"/>
              </w:rPr>
              <w:t>公务用车购置</w:t>
            </w: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30107</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绩效工资</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75.60</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30205</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水费</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0.85</w:t>
            </w:r>
          </w:p>
        </w:tc>
        <w:tc>
          <w:tcPr>
            <w:tcW w:w="6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31099</w:t>
            </w:r>
          </w:p>
        </w:tc>
        <w:tc>
          <w:tcPr>
            <w:tcW w:w="131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161"/>
            </w:pPr>
            <w:r>
              <w:rPr>
                <w:sz w:val="16"/>
              </w:rPr>
              <w:t>其他资本性支出</w:t>
            </w: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30108</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机关事业单位基本养老保险缴费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30206</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电费</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8.87</w:t>
            </w: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30109</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职业年金缴费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30207</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邮电费</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0.93</w:t>
            </w: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55"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30110</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职工基本医疗保险缴费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30208</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取暖费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40"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30111</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公务员医疗补助缴费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30209</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物业管理费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30112</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其他社会保障缴费</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117.96</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30211</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差旅费</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0.40</w:t>
            </w: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30113</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住房公积金</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110.03</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30212</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58"/>
              <w:jc w:val="both"/>
            </w:pPr>
            <w:r>
              <w:rPr>
                <w:sz w:val="16"/>
              </w:rPr>
              <w:t>因公出国（境）费用</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30114</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医疗费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30213</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维修（护）费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10"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30199</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其他工资福利支出</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30214</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租赁费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295"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对个人和家庭的补助</w:t>
            </w:r>
          </w:p>
        </w:tc>
        <w:tc>
          <w:tcPr>
            <w:tcW w:w="94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43.41</w:t>
            </w: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30215</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会议费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10"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30301</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离休费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30216</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培训费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25"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30302</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退休费</w:t>
            </w:r>
          </w:p>
        </w:tc>
        <w:tc>
          <w:tcPr>
            <w:tcW w:w="94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10.20</w:t>
            </w: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30217</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公务接待费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55"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30303</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退职（役）费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30218</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专用材料费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30304</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抚恤金</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19.51</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30224</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被装购置费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30305</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生活补助</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13.70</w:t>
            </w: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30225</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专用燃料费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30306</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救济费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30226</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劳务费</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89.10</w:t>
            </w: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25"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30307</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医疗费补助</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30227</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委托业务费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55"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30308</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助学金</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30228</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工会经费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25"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30309</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奖励金</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30229</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福利费</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30310</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个人农业生产补贴</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30231</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58"/>
              <w:jc w:val="both"/>
            </w:pPr>
            <w:r>
              <w:rPr>
                <w:sz w:val="16"/>
              </w:rPr>
              <w:t>公务用车运行维护费</w:t>
            </w:r>
          </w:p>
        </w:tc>
        <w:tc>
          <w:tcPr>
            <w:tcW w:w="8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16"/>
              </w:rPr>
              <w:t>5.10</w:t>
            </w: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310" w:hRule="atLeast"/>
        </w:trPr>
        <w:tc>
          <w:tcPr>
            <w:tcW w:w="764"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16"/>
              </w:rPr>
              <w:t>30311</w:t>
            </w:r>
          </w:p>
        </w:tc>
        <w:tc>
          <w:tcPr>
            <w:tcW w:w="2640" w:type="dxa"/>
            <w:tcBorders>
              <w:top w:val="single" w:color="000000" w:sz="4" w:space="0"/>
              <w:left w:val="single" w:color="000000" w:sz="4" w:space="0"/>
              <w:bottom w:val="single" w:color="000000" w:sz="4" w:space="0"/>
              <w:right w:val="single" w:color="000000" w:sz="4" w:space="0"/>
            </w:tcBorders>
          </w:tcPr>
          <w:p>
            <w:pPr>
              <w:spacing w:after="0" w:line="259" w:lineRule="auto"/>
              <w:ind w:left="161" w:firstLine="0"/>
            </w:pPr>
            <w:r>
              <w:rPr>
                <w:sz w:val="16"/>
              </w:rPr>
              <w:t>代缴社会保险费</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16"/>
              </w:rPr>
              <w:t>30239</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160" w:firstLine="0"/>
            </w:pPr>
            <w:r>
              <w:rPr>
                <w:sz w:val="16"/>
              </w:rPr>
              <w:t>其他交通费用</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30399</w:t>
            </w:r>
          </w:p>
        </w:tc>
        <w:tc>
          <w:tcPr>
            <w:tcW w:w="26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1" w:firstLine="0"/>
            </w:pPr>
            <w:r>
              <w:rPr>
                <w:sz w:val="16"/>
              </w:rPr>
              <w:t>其他对个人和家庭的补助</w:t>
            </w: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30240</w:t>
            </w:r>
          </w:p>
        </w:tc>
        <w:tc>
          <w:tcPr>
            <w:tcW w:w="175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0" w:firstLine="0"/>
            </w:pPr>
            <w:r>
              <w:rPr>
                <w:sz w:val="16"/>
              </w:rPr>
              <w:t>税金及附加费用</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76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6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2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30299</w:t>
            </w:r>
          </w:p>
        </w:tc>
        <w:tc>
          <w:tcPr>
            <w:tcW w:w="175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158"/>
              <w:jc w:val="both"/>
            </w:pPr>
            <w:r>
              <w:rPr>
                <w:sz w:val="16"/>
              </w:rPr>
              <w:t>其他商品和服务支出</w:t>
            </w:r>
          </w:p>
        </w:tc>
        <w:tc>
          <w:tcPr>
            <w:tcW w:w="8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64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31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29" w:type="dxa"/>
            <w:left w:w="107" w:type="dxa"/>
            <w:bottom w:w="0" w:type="dxa"/>
            <w:right w:w="106" w:type="dxa"/>
          </w:tblCellMar>
        </w:tblPrEx>
        <w:trPr>
          <w:trHeight w:val="430" w:hRule="atLeast"/>
        </w:trPr>
        <w:tc>
          <w:tcPr>
            <w:tcW w:w="3404"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人员经费合计</w:t>
            </w:r>
          </w:p>
        </w:tc>
        <w:tc>
          <w:tcPr>
            <w:tcW w:w="94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16"/>
              </w:rPr>
              <w:t>1,103.79</w:t>
            </w:r>
          </w:p>
        </w:tc>
        <w:tc>
          <w:tcPr>
            <w:tcW w:w="5170" w:type="dxa"/>
            <w:gridSpan w:val="5"/>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公用经费合计</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16"/>
              </w:rPr>
              <w:t>121.00</w:t>
            </w:r>
          </w:p>
        </w:tc>
      </w:tr>
    </w:tbl>
    <w:p>
      <w:pPr>
        <w:spacing w:after="4" w:line="250" w:lineRule="auto"/>
        <w:ind w:left="10" w:hanging="10"/>
      </w:pPr>
      <w:r>
        <w:rPr>
          <w:sz w:val="20"/>
        </w:rPr>
        <w:t>注：本表反映部门本年度一般公共预算财政拨款基本支出明细情况。</w:t>
      </w:r>
    </w:p>
    <w:p>
      <w:pPr>
        <w:sectPr>
          <w:pgSz w:w="11915" w:h="16851"/>
          <w:pgMar w:top="1445" w:right="733" w:bottom="1570" w:left="1063" w:header="720" w:footer="720" w:gutter="0"/>
          <w:cols w:space="720" w:num="1"/>
        </w:sectPr>
      </w:pPr>
    </w:p>
    <w:p>
      <w:pPr>
        <w:spacing w:after="0" w:line="259" w:lineRule="auto"/>
        <w:ind w:left="50" w:firstLine="0"/>
        <w:jc w:val="center"/>
      </w:pPr>
      <w:r>
        <w:rPr>
          <w:sz w:val="36"/>
        </w:rPr>
        <w:t>2021年度一般公共预算财政拨款“三公”经费支出决算表（表7）</w:t>
      </w:r>
      <w:r>
        <w:rPr>
          <w:sz w:val="18"/>
        </w:rPr>
        <w:t>部门：武汉市黄陂区人民政府大潭办事处（汇总）</w:t>
      </w:r>
      <w:r>
        <w:rPr>
          <w:sz w:val="18"/>
        </w:rPr>
        <w:tab/>
      </w:r>
      <w:r>
        <w:rPr>
          <w:sz w:val="18"/>
        </w:rPr>
        <w:t>金额单位：万元</w:t>
      </w:r>
    </w:p>
    <w:tbl>
      <w:tblPr>
        <w:tblStyle w:val="8"/>
        <w:tblW w:w="13245" w:type="dxa"/>
        <w:tblInd w:w="629" w:type="dxa"/>
        <w:tblLayout w:type="autofit"/>
        <w:tblCellMar>
          <w:top w:w="0" w:type="dxa"/>
          <w:left w:w="0" w:type="dxa"/>
          <w:bottom w:w="34" w:type="dxa"/>
          <w:right w:w="0" w:type="dxa"/>
        </w:tblCellMar>
      </w:tblPr>
      <w:tblGrid>
        <w:gridCol w:w="3438"/>
        <w:gridCol w:w="1031"/>
        <w:gridCol w:w="856"/>
        <w:gridCol w:w="868"/>
        <w:gridCol w:w="868"/>
        <w:gridCol w:w="873"/>
        <w:gridCol w:w="860"/>
        <w:gridCol w:w="1038"/>
        <w:gridCol w:w="868"/>
        <w:gridCol w:w="620"/>
        <w:gridCol w:w="875"/>
        <w:gridCol w:w="1050"/>
      </w:tblGrid>
      <w:tr>
        <w:tblPrEx>
          <w:tblCellMar>
            <w:top w:w="0" w:type="dxa"/>
            <w:left w:w="0" w:type="dxa"/>
            <w:bottom w:w="34" w:type="dxa"/>
            <w:right w:w="0" w:type="dxa"/>
          </w:tblCellMar>
        </w:tblPrEx>
        <w:trPr>
          <w:trHeight w:val="490" w:hRule="atLeast"/>
        </w:trPr>
        <w:tc>
          <w:tcPr>
            <w:tcW w:w="3438" w:type="dxa"/>
            <w:tcBorders>
              <w:top w:val="single" w:color="808080" w:sz="4" w:space="0"/>
              <w:left w:val="single" w:color="000000" w:sz="4" w:space="0"/>
              <w:bottom w:val="single" w:color="000000" w:sz="4" w:space="0"/>
              <w:right w:val="nil"/>
            </w:tcBorders>
            <w:vAlign w:val="center"/>
          </w:tcPr>
          <w:p>
            <w:pPr>
              <w:spacing w:after="0" w:line="259" w:lineRule="auto"/>
              <w:ind w:left="107" w:firstLine="0"/>
            </w:pPr>
            <w:r>
              <w:rPr>
                <w:sz w:val="20"/>
              </w:rPr>
              <w:t>预算数</w:t>
            </w:r>
          </w:p>
        </w:tc>
        <w:tc>
          <w:tcPr>
            <w:tcW w:w="4496" w:type="dxa"/>
            <w:gridSpan w:val="5"/>
            <w:tcBorders>
              <w:top w:val="single" w:color="808080" w:sz="4" w:space="0"/>
              <w:left w:val="nil"/>
              <w:bottom w:val="single" w:color="000000" w:sz="4" w:space="0"/>
              <w:right w:val="single" w:color="000000" w:sz="4" w:space="0"/>
            </w:tcBorders>
          </w:tcPr>
          <w:p>
            <w:pPr>
              <w:spacing w:after="160" w:line="259" w:lineRule="auto"/>
              <w:ind w:left="0" w:firstLine="0"/>
            </w:pPr>
          </w:p>
        </w:tc>
        <w:tc>
          <w:tcPr>
            <w:tcW w:w="860" w:type="dxa"/>
            <w:tcBorders>
              <w:top w:val="single" w:color="808080" w:sz="4" w:space="0"/>
              <w:left w:val="single" w:color="000000" w:sz="4" w:space="0"/>
              <w:bottom w:val="single" w:color="000000" w:sz="4" w:space="0"/>
              <w:right w:val="nil"/>
            </w:tcBorders>
            <w:vAlign w:val="center"/>
          </w:tcPr>
          <w:p>
            <w:pPr>
              <w:spacing w:after="0" w:line="259" w:lineRule="auto"/>
              <w:ind w:left="108" w:firstLine="0"/>
              <w:jc w:val="both"/>
            </w:pPr>
            <w:r>
              <w:rPr>
                <w:sz w:val="20"/>
              </w:rPr>
              <w:t>决算数</w:t>
            </w:r>
          </w:p>
        </w:tc>
        <w:tc>
          <w:tcPr>
            <w:tcW w:w="4451" w:type="dxa"/>
            <w:gridSpan w:val="5"/>
            <w:tcBorders>
              <w:top w:val="single" w:color="808080" w:sz="4" w:space="0"/>
              <w:left w:val="nil"/>
              <w:bottom w:val="single" w:color="000000" w:sz="4" w:space="0"/>
              <w:right w:val="single" w:color="000000" w:sz="4" w:space="0"/>
            </w:tcBorders>
          </w:tcPr>
          <w:p>
            <w:pPr>
              <w:spacing w:after="160" w:line="259" w:lineRule="auto"/>
              <w:ind w:left="0" w:firstLine="0"/>
            </w:pPr>
          </w:p>
        </w:tc>
      </w:tr>
      <w:tr>
        <w:tblPrEx>
          <w:tblCellMar>
            <w:top w:w="0" w:type="dxa"/>
            <w:left w:w="0" w:type="dxa"/>
            <w:bottom w:w="34" w:type="dxa"/>
            <w:right w:w="0" w:type="dxa"/>
          </w:tblCellMar>
        </w:tblPrEx>
        <w:trPr>
          <w:trHeight w:val="490" w:hRule="atLeast"/>
        </w:trPr>
        <w:tc>
          <w:tcPr>
            <w:tcW w:w="343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合计</w:t>
            </w:r>
          </w:p>
        </w:tc>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因公出国（境）费</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公务用车购置及运行费</w:t>
            </w:r>
          </w:p>
        </w:tc>
        <w:tc>
          <w:tcPr>
            <w:tcW w:w="873"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公务接待费</w:t>
            </w: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合计</w:t>
            </w:r>
          </w:p>
        </w:tc>
        <w:tc>
          <w:tcPr>
            <w:tcW w:w="103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因公出国（境）费</w:t>
            </w:r>
          </w:p>
        </w:tc>
        <w:tc>
          <w:tcPr>
            <w:tcW w:w="868" w:type="dxa"/>
            <w:vMerge w:val="restart"/>
            <w:tcBorders>
              <w:top w:val="single" w:color="000000" w:sz="4" w:space="0"/>
              <w:left w:val="single" w:color="000000" w:sz="4" w:space="0"/>
              <w:bottom w:val="single" w:color="000000" w:sz="4" w:space="0"/>
              <w:right w:val="nil"/>
            </w:tcBorders>
            <w:vAlign w:val="bottom"/>
          </w:tcPr>
          <w:p>
            <w:pPr>
              <w:spacing w:after="0" w:line="259" w:lineRule="auto"/>
              <w:ind w:left="108" w:firstLine="0"/>
            </w:pPr>
            <w:r>
              <w:rPr>
                <w:sz w:val="20"/>
              </w:rPr>
              <w:t>小计</w:t>
            </w:r>
          </w:p>
        </w:tc>
        <w:tc>
          <w:tcPr>
            <w:tcW w:w="620" w:type="dxa"/>
            <w:vMerge w:val="restart"/>
            <w:tcBorders>
              <w:top w:val="single" w:color="000000" w:sz="4" w:space="0"/>
              <w:left w:val="nil"/>
              <w:bottom w:val="single" w:color="000000" w:sz="4" w:space="0"/>
              <w:right w:val="nil"/>
            </w:tcBorders>
            <w:vAlign w:val="bottom"/>
          </w:tcPr>
          <w:p>
            <w:pPr>
              <w:spacing w:after="102" w:line="259" w:lineRule="auto"/>
              <w:ind w:left="-760" w:right="-619" w:firstLine="0"/>
              <w:jc w:val="center"/>
            </w:pPr>
            <w:r>
              <w:rPr>
                <w:sz w:val="20"/>
              </w:rPr>
              <w:t>公务用车购置及运行费</w:t>
            </w:r>
          </w:p>
          <w:p>
            <w:pPr>
              <w:spacing w:after="0" w:line="259" w:lineRule="auto"/>
              <w:ind w:left="109" w:right="108" w:firstLine="0"/>
              <w:jc w:val="both"/>
            </w:pPr>
            <w:r>
              <w:rPr>
                <w:sz w:val="20"/>
              </w:rPr>
              <w:t>公务用车购置费</w:t>
            </w:r>
          </w:p>
        </w:tc>
        <w:tc>
          <w:tcPr>
            <w:tcW w:w="875" w:type="dxa"/>
            <w:vMerge w:val="restart"/>
            <w:tcBorders>
              <w:top w:val="single" w:color="000000" w:sz="4" w:space="0"/>
              <w:left w:val="nil"/>
              <w:bottom w:val="single" w:color="000000" w:sz="4" w:space="0"/>
              <w:right w:val="single" w:color="000000" w:sz="4" w:space="0"/>
            </w:tcBorders>
            <w:vAlign w:val="bottom"/>
          </w:tcPr>
          <w:p>
            <w:pPr>
              <w:spacing w:after="0" w:line="259" w:lineRule="auto"/>
              <w:ind w:left="108" w:firstLine="0"/>
            </w:pPr>
            <w:r>
              <w:rPr>
                <w:sz w:val="20"/>
              </w:rPr>
              <w:t>公务用车运行费</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公务接待费</w:t>
            </w:r>
          </w:p>
        </w:tc>
      </w:tr>
      <w:tr>
        <w:tblPrEx>
          <w:tblCellMar>
            <w:top w:w="0" w:type="dxa"/>
            <w:left w:w="0" w:type="dxa"/>
            <w:bottom w:w="34" w:type="dxa"/>
            <w:right w:w="0" w:type="dxa"/>
          </w:tblCellMar>
        </w:tblPrEx>
        <w:trPr>
          <w:trHeight w:val="1047"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85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小计</w:t>
            </w: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公务用车购置费</w:t>
            </w: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公务用车运行费</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0" w:type="dxa"/>
            <w:left w:w="0" w:type="dxa"/>
            <w:bottom w:w="34" w:type="dxa"/>
            <w:right w:w="0" w:type="dxa"/>
          </w:tblCellMar>
        </w:tblPrEx>
        <w:trPr>
          <w:trHeight w:val="450" w:hRule="atLeast"/>
        </w:trPr>
        <w:tc>
          <w:tcPr>
            <w:tcW w:w="343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1</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2</w:t>
            </w:r>
          </w:p>
        </w:tc>
        <w:tc>
          <w:tcPr>
            <w:tcW w:w="85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3</w:t>
            </w: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4</w:t>
            </w: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6</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7</w:t>
            </w:r>
          </w:p>
        </w:tc>
        <w:tc>
          <w:tcPr>
            <w:tcW w:w="103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8</w:t>
            </w: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9</w:t>
            </w:r>
          </w:p>
        </w:tc>
        <w:tc>
          <w:tcPr>
            <w:tcW w:w="62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0"/>
              </w:rPr>
              <w:t>10</w:t>
            </w:r>
          </w:p>
        </w:tc>
        <w:tc>
          <w:tcPr>
            <w:tcW w:w="8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0"/>
              </w:rPr>
              <w:t>11</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0"/>
              </w:rPr>
              <w:t>12</w:t>
            </w:r>
          </w:p>
        </w:tc>
      </w:tr>
      <w:tr>
        <w:tblPrEx>
          <w:tblCellMar>
            <w:top w:w="0" w:type="dxa"/>
            <w:left w:w="0" w:type="dxa"/>
            <w:bottom w:w="34" w:type="dxa"/>
            <w:right w:w="0" w:type="dxa"/>
          </w:tblCellMar>
        </w:tblPrEx>
        <w:trPr>
          <w:trHeight w:val="450" w:hRule="atLeast"/>
        </w:trPr>
        <w:tc>
          <w:tcPr>
            <w:tcW w:w="343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2"/>
              </w:rPr>
              <w:t>5.32</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2"/>
              </w:rPr>
              <w:t>0.00</w:t>
            </w:r>
          </w:p>
        </w:tc>
        <w:tc>
          <w:tcPr>
            <w:tcW w:w="85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2"/>
              </w:rPr>
              <w:t>5.32</w:t>
            </w: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2"/>
              </w:rPr>
              <w:t>0.00</w:t>
            </w: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9" w:firstLine="0"/>
            </w:pPr>
            <w:r>
              <w:rPr>
                <w:sz w:val="22"/>
              </w:rPr>
              <w:t>5.32</w:t>
            </w:r>
          </w:p>
        </w:tc>
        <w:tc>
          <w:tcPr>
            <w:tcW w:w="87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7" w:firstLine="0"/>
            </w:pPr>
            <w:r>
              <w:rPr>
                <w:sz w:val="22"/>
              </w:rPr>
              <w:t>0.00</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2"/>
              </w:rPr>
              <w:t>5.10</w:t>
            </w:r>
          </w:p>
        </w:tc>
        <w:tc>
          <w:tcPr>
            <w:tcW w:w="1038"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6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2"/>
              </w:rPr>
              <w:t>5.10</w:t>
            </w:r>
          </w:p>
        </w:tc>
        <w:tc>
          <w:tcPr>
            <w:tcW w:w="62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8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pPr>
            <w:r>
              <w:rPr>
                <w:sz w:val="22"/>
              </w:rPr>
              <w:t>5.10</w:t>
            </w:r>
          </w:p>
        </w:tc>
        <w:tc>
          <w:tcPr>
            <w:tcW w:w="105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67" w:line="250" w:lineRule="auto"/>
        <w:ind w:left="747" w:hanging="10"/>
      </w:pPr>
      <w:r>
        <w:rPr>
          <w:sz w:val="20"/>
        </w:rPr>
        <w:t>注：本表反映部门本年度“三公”经费支出预决算情况。其中，预算数为“三公”经费年初预算数，决算数是包括当年一般公共预算财政拨款和以前年度结转资金安排的实际支出。</w:t>
      </w:r>
    </w:p>
    <w:p>
      <w:pPr>
        <w:spacing w:after="4" w:line="259" w:lineRule="auto"/>
        <w:ind w:left="1107" w:hanging="10"/>
      </w:pPr>
      <w:r>
        <w:rPr>
          <w:sz w:val="18"/>
        </w:rPr>
        <w:t xml:space="preserve">1栏＝（2＋3＋6）栏；3栏＝（4＋5）栏；7栏＝（8＋9＋12）栏；9栏=（10+11）栏。 </w:t>
      </w:r>
      <w:r>
        <w:rPr>
          <w:sz w:val="36"/>
        </w:rPr>
        <w:t>2021年度政府性基金预算财政拨款收入支出决算表（表8）</w:t>
      </w:r>
      <w:r>
        <w:rPr>
          <w:sz w:val="18"/>
        </w:rPr>
        <w:t>部门：武汉市黄陂区人民政府大潭办事处（汇总）</w:t>
      </w:r>
      <w:r>
        <w:rPr>
          <w:sz w:val="18"/>
        </w:rPr>
        <w:tab/>
      </w:r>
      <w:r>
        <w:rPr>
          <w:sz w:val="18"/>
        </w:rPr>
        <w:t>金额单位：万元</w:t>
      </w:r>
    </w:p>
    <w:tbl>
      <w:tblPr>
        <w:tblStyle w:val="8"/>
        <w:tblW w:w="13902" w:type="dxa"/>
        <w:tblInd w:w="-109" w:type="dxa"/>
        <w:tblLayout w:type="autofit"/>
        <w:tblCellMar>
          <w:top w:w="56" w:type="dxa"/>
          <w:left w:w="107" w:type="dxa"/>
          <w:bottom w:w="55" w:type="dxa"/>
          <w:right w:w="109" w:type="dxa"/>
        </w:tblCellMar>
      </w:tblPr>
      <w:tblGrid>
        <w:gridCol w:w="3769"/>
        <w:gridCol w:w="1124"/>
        <w:gridCol w:w="1649"/>
        <w:gridCol w:w="1469"/>
        <w:gridCol w:w="1424"/>
        <w:gridCol w:w="1709"/>
        <w:gridCol w:w="1499"/>
        <w:gridCol w:w="1259"/>
      </w:tblGrid>
      <w:tr>
        <w:tblPrEx>
          <w:tblCellMar>
            <w:top w:w="56" w:type="dxa"/>
            <w:left w:w="107" w:type="dxa"/>
            <w:bottom w:w="55" w:type="dxa"/>
            <w:right w:w="109" w:type="dxa"/>
          </w:tblCellMar>
        </w:tblPrEx>
        <w:trPr>
          <w:trHeight w:val="310" w:hRule="atLeast"/>
        </w:trPr>
        <w:tc>
          <w:tcPr>
            <w:tcW w:w="3769" w:type="dxa"/>
            <w:tcBorders>
              <w:top w:val="single" w:color="808080" w:sz="4" w:space="0"/>
              <w:left w:val="single" w:color="000000" w:sz="4" w:space="0"/>
              <w:bottom w:val="single" w:color="000000" w:sz="4" w:space="0"/>
              <w:right w:val="nil"/>
            </w:tcBorders>
          </w:tcPr>
          <w:p>
            <w:pPr>
              <w:spacing w:after="0" w:line="259" w:lineRule="auto"/>
              <w:ind w:left="2" w:firstLine="0"/>
            </w:pPr>
            <w:r>
              <w:rPr>
                <w:sz w:val="20"/>
              </w:rPr>
              <w:t>项目</w:t>
            </w:r>
          </w:p>
        </w:tc>
        <w:tc>
          <w:tcPr>
            <w:tcW w:w="1124" w:type="dxa"/>
            <w:tcBorders>
              <w:top w:val="single" w:color="808080" w:sz="4" w:space="0"/>
              <w:left w:val="nil"/>
              <w:bottom w:val="single" w:color="000000" w:sz="4" w:space="0"/>
              <w:right w:val="single" w:color="000000" w:sz="4" w:space="0"/>
            </w:tcBorders>
          </w:tcPr>
          <w:p>
            <w:pPr>
              <w:spacing w:after="160" w:line="259" w:lineRule="auto"/>
              <w:ind w:left="0" w:firstLine="0"/>
            </w:pPr>
          </w:p>
        </w:tc>
        <w:tc>
          <w:tcPr>
            <w:tcW w:w="1649"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0"/>
              </w:rPr>
              <w:t>年初结转和结余</w:t>
            </w:r>
          </w:p>
        </w:tc>
        <w:tc>
          <w:tcPr>
            <w:tcW w:w="1469"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本年收入</w:t>
            </w:r>
          </w:p>
        </w:tc>
        <w:tc>
          <w:tcPr>
            <w:tcW w:w="1424" w:type="dxa"/>
            <w:vMerge w:val="restart"/>
            <w:tcBorders>
              <w:top w:val="single" w:color="808080" w:sz="4" w:space="0"/>
              <w:left w:val="single" w:color="000000" w:sz="4" w:space="0"/>
              <w:bottom w:val="single" w:color="000000" w:sz="4" w:space="0"/>
              <w:right w:val="nil"/>
            </w:tcBorders>
          </w:tcPr>
          <w:p>
            <w:pPr>
              <w:spacing w:after="340" w:line="259" w:lineRule="auto"/>
              <w:ind w:left="2" w:firstLine="0"/>
            </w:pPr>
            <w:r>
              <w:rPr>
                <w:sz w:val="20"/>
              </w:rPr>
              <w:t>本年支出</w:t>
            </w:r>
          </w:p>
          <w:p>
            <w:pPr>
              <w:spacing w:after="0" w:line="259" w:lineRule="auto"/>
              <w:ind w:left="2" w:firstLine="0"/>
            </w:pPr>
            <w:r>
              <w:rPr>
                <w:sz w:val="20"/>
              </w:rPr>
              <w:t>小计</w:t>
            </w:r>
          </w:p>
        </w:tc>
        <w:tc>
          <w:tcPr>
            <w:tcW w:w="1709" w:type="dxa"/>
            <w:vMerge w:val="restart"/>
            <w:tcBorders>
              <w:top w:val="single" w:color="808080" w:sz="4" w:space="0"/>
              <w:left w:val="nil"/>
              <w:bottom w:val="single" w:color="000000" w:sz="4" w:space="0"/>
              <w:right w:val="nil"/>
            </w:tcBorders>
            <w:vAlign w:val="bottom"/>
          </w:tcPr>
          <w:p>
            <w:pPr>
              <w:spacing w:after="0" w:line="259" w:lineRule="auto"/>
              <w:ind w:left="1" w:firstLine="0"/>
            </w:pPr>
            <w:r>
              <w:rPr>
                <w:sz w:val="20"/>
              </w:rPr>
              <w:t>基本支出</w:t>
            </w:r>
          </w:p>
        </w:tc>
        <w:tc>
          <w:tcPr>
            <w:tcW w:w="1499" w:type="dxa"/>
            <w:vMerge w:val="restart"/>
            <w:tcBorders>
              <w:top w:val="single" w:color="808080" w:sz="4" w:space="0"/>
              <w:left w:val="nil"/>
              <w:bottom w:val="single" w:color="000000" w:sz="4" w:space="0"/>
              <w:right w:val="single" w:color="000000" w:sz="4" w:space="0"/>
            </w:tcBorders>
            <w:vAlign w:val="bottom"/>
          </w:tcPr>
          <w:p>
            <w:pPr>
              <w:spacing w:after="0" w:line="259" w:lineRule="auto"/>
              <w:ind w:left="1" w:firstLine="0"/>
            </w:pPr>
            <w:r>
              <w:rPr>
                <w:sz w:val="20"/>
              </w:rPr>
              <w:t>项目支出</w:t>
            </w:r>
          </w:p>
        </w:tc>
        <w:tc>
          <w:tcPr>
            <w:tcW w:w="1259" w:type="dxa"/>
            <w:vMerge w:val="restart"/>
            <w:tcBorders>
              <w:top w:val="single" w:color="80808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年末结转和结余</w:t>
            </w:r>
          </w:p>
        </w:tc>
      </w:tr>
      <w:tr>
        <w:tblPrEx>
          <w:tblCellMar>
            <w:top w:w="56" w:type="dxa"/>
            <w:left w:w="107" w:type="dxa"/>
            <w:bottom w:w="55" w:type="dxa"/>
            <w:right w:w="109" w:type="dxa"/>
          </w:tblCellMar>
        </w:tblPrEx>
        <w:trPr>
          <w:trHeight w:val="930" w:hRule="atLeast"/>
        </w:trPr>
        <w:tc>
          <w:tcPr>
            <w:tcW w:w="376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pPr>
            <w:r>
              <w:rPr>
                <w:sz w:val="20"/>
              </w:rPr>
              <w:t>功能分类科目编码</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科目名称</w:t>
            </w: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nil"/>
            </w:tcBorders>
          </w:tcPr>
          <w:p>
            <w:pPr>
              <w:spacing w:after="160" w:line="259" w:lineRule="auto"/>
              <w:ind w:left="0" w:firstLine="0"/>
            </w:pPr>
          </w:p>
        </w:tc>
        <w:tc>
          <w:tcPr>
            <w:tcW w:w="0" w:type="auto"/>
            <w:vMerge w:val="continue"/>
            <w:tcBorders>
              <w:top w:val="nil"/>
              <w:left w:val="nil"/>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r>
      <w:tr>
        <w:tblPrEx>
          <w:tblCellMar>
            <w:top w:w="56" w:type="dxa"/>
            <w:left w:w="107" w:type="dxa"/>
            <w:bottom w:w="55" w:type="dxa"/>
            <w:right w:w="109" w:type="dxa"/>
          </w:tblCellMar>
        </w:tblPrEx>
        <w:trPr>
          <w:trHeight w:val="390" w:hRule="atLeast"/>
        </w:trPr>
        <w:tc>
          <w:tcPr>
            <w:tcW w:w="3769" w:type="dxa"/>
            <w:tcBorders>
              <w:top w:val="single" w:color="000000" w:sz="4" w:space="0"/>
              <w:left w:val="single" w:color="000000" w:sz="4" w:space="0"/>
              <w:bottom w:val="single" w:color="000000" w:sz="4" w:space="0"/>
              <w:right w:val="nil"/>
            </w:tcBorders>
          </w:tcPr>
          <w:p>
            <w:pPr>
              <w:spacing w:after="0" w:line="259" w:lineRule="auto"/>
              <w:ind w:left="2" w:firstLine="0"/>
            </w:pPr>
            <w:r>
              <w:rPr>
                <w:sz w:val="20"/>
              </w:rPr>
              <w:t>栏次</w:t>
            </w:r>
          </w:p>
        </w:tc>
        <w:tc>
          <w:tcPr>
            <w:tcW w:w="1124"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64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w:t>
            </w:r>
          </w:p>
        </w:tc>
        <w:tc>
          <w:tcPr>
            <w:tcW w:w="146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2</w:t>
            </w:r>
          </w:p>
        </w:tc>
        <w:tc>
          <w:tcPr>
            <w:tcW w:w="1424"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3</w:t>
            </w:r>
          </w:p>
        </w:tc>
        <w:tc>
          <w:tcPr>
            <w:tcW w:w="170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4</w:t>
            </w:r>
          </w:p>
        </w:tc>
        <w:tc>
          <w:tcPr>
            <w:tcW w:w="1499"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5</w:t>
            </w:r>
          </w:p>
        </w:tc>
        <w:tc>
          <w:tcPr>
            <w:tcW w:w="1259"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pPr>
            <w:r>
              <w:rPr>
                <w:sz w:val="20"/>
              </w:rPr>
              <w:t>6</w:t>
            </w:r>
          </w:p>
        </w:tc>
      </w:tr>
      <w:tr>
        <w:tblPrEx>
          <w:tblCellMar>
            <w:top w:w="56" w:type="dxa"/>
            <w:left w:w="107" w:type="dxa"/>
            <w:bottom w:w="55" w:type="dxa"/>
            <w:right w:w="109" w:type="dxa"/>
          </w:tblCellMar>
        </w:tblPrEx>
        <w:trPr>
          <w:trHeight w:val="390" w:hRule="atLeast"/>
        </w:trPr>
        <w:tc>
          <w:tcPr>
            <w:tcW w:w="3769" w:type="dxa"/>
            <w:tcBorders>
              <w:top w:val="single" w:color="000000" w:sz="4" w:space="0"/>
              <w:left w:val="single" w:color="000000" w:sz="4" w:space="0"/>
              <w:bottom w:val="single" w:color="000000" w:sz="4" w:space="0"/>
              <w:right w:val="nil"/>
            </w:tcBorders>
          </w:tcPr>
          <w:p>
            <w:pPr>
              <w:spacing w:after="0" w:line="259" w:lineRule="auto"/>
              <w:ind w:left="2" w:firstLine="0"/>
            </w:pPr>
            <w:r>
              <w:rPr>
                <w:sz w:val="20"/>
              </w:rPr>
              <w:t>合计</w:t>
            </w:r>
          </w:p>
        </w:tc>
        <w:tc>
          <w:tcPr>
            <w:tcW w:w="1124"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64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70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9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5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56" w:type="dxa"/>
            <w:left w:w="107" w:type="dxa"/>
            <w:bottom w:w="55" w:type="dxa"/>
            <w:right w:w="109" w:type="dxa"/>
          </w:tblCellMar>
        </w:tblPrEx>
        <w:trPr>
          <w:trHeight w:val="390" w:hRule="atLeast"/>
        </w:trPr>
        <w:tc>
          <w:tcPr>
            <w:tcW w:w="37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1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64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6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2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70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9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25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4" w:line="250" w:lineRule="auto"/>
        <w:ind w:left="10" w:hanging="10"/>
      </w:pPr>
      <w:r>
        <w:rPr>
          <w:sz w:val="20"/>
        </w:rPr>
        <w:t>注：本表反映部门本年度政府性基金预算财政拨款收入、支出及结转和结余情况。</w:t>
      </w:r>
    </w:p>
    <w:p>
      <w:pPr>
        <w:spacing w:after="4" w:line="259" w:lineRule="auto"/>
        <w:ind w:left="370" w:hanging="10"/>
      </w:pPr>
      <w:r>
        <w:rPr>
          <w:sz w:val="18"/>
        </w:rPr>
        <w:t>6栏各行＝（1＋2－3）栏各行；3栏各行＝（4＋5）栏各行。</w:t>
      </w:r>
    </w:p>
    <w:p>
      <w:pPr>
        <w:spacing w:after="5" w:line="259" w:lineRule="auto"/>
        <w:ind w:left="355" w:hanging="10"/>
      </w:pPr>
      <w:r>
        <w:rPr>
          <w:sz w:val="21"/>
        </w:rPr>
        <w:t>2021年度政府性基金预算财政拨款收入支出决算表无数据。</w:t>
      </w:r>
    </w:p>
    <w:p>
      <w:pPr>
        <w:spacing w:after="4" w:line="259" w:lineRule="auto"/>
        <w:ind w:left="1697" w:firstLine="1440"/>
      </w:pPr>
      <w:r>
        <w:rPr>
          <w:sz w:val="36"/>
        </w:rPr>
        <w:t>2021年度国有资本经营预算财政拨款支出决算表（表9）</w:t>
      </w:r>
      <w:r>
        <w:rPr>
          <w:sz w:val="18"/>
        </w:rPr>
        <w:t>部门：武汉市黄陂区人民政府大潭办事处（汇总）</w:t>
      </w:r>
      <w:r>
        <w:rPr>
          <w:sz w:val="18"/>
        </w:rPr>
        <w:tab/>
      </w:r>
      <w:r>
        <w:rPr>
          <w:sz w:val="18"/>
        </w:rPr>
        <w:t>金额单位：万元</w:t>
      </w:r>
    </w:p>
    <w:tbl>
      <w:tblPr>
        <w:tblStyle w:val="8"/>
        <w:tblW w:w="11325" w:type="dxa"/>
        <w:tblInd w:w="1589" w:type="dxa"/>
        <w:tblLayout w:type="autofit"/>
        <w:tblCellMar>
          <w:top w:w="0" w:type="dxa"/>
          <w:left w:w="107" w:type="dxa"/>
          <w:bottom w:w="0" w:type="dxa"/>
          <w:right w:w="173" w:type="dxa"/>
        </w:tblCellMar>
      </w:tblPr>
      <w:tblGrid>
        <w:gridCol w:w="3765"/>
        <w:gridCol w:w="1080"/>
        <w:gridCol w:w="1440"/>
        <w:gridCol w:w="1710"/>
        <w:gridCol w:w="3330"/>
      </w:tblGrid>
      <w:tr>
        <w:tblPrEx>
          <w:tblCellMar>
            <w:top w:w="0" w:type="dxa"/>
            <w:left w:w="107" w:type="dxa"/>
            <w:bottom w:w="0" w:type="dxa"/>
            <w:right w:w="173" w:type="dxa"/>
          </w:tblCellMar>
        </w:tblPrEx>
        <w:trPr>
          <w:trHeight w:val="470" w:hRule="atLeast"/>
        </w:trPr>
        <w:tc>
          <w:tcPr>
            <w:tcW w:w="3765" w:type="dxa"/>
            <w:tcBorders>
              <w:top w:val="single" w:color="808080" w:sz="4" w:space="0"/>
              <w:left w:val="single" w:color="000000" w:sz="4" w:space="0"/>
              <w:bottom w:val="single" w:color="000000" w:sz="4" w:space="0"/>
              <w:right w:val="nil"/>
            </w:tcBorders>
            <w:vAlign w:val="center"/>
          </w:tcPr>
          <w:p>
            <w:pPr>
              <w:spacing w:after="0" w:line="259" w:lineRule="auto"/>
              <w:ind w:left="1" w:firstLine="0"/>
            </w:pPr>
            <w:r>
              <w:rPr>
                <w:sz w:val="20"/>
              </w:rPr>
              <w:t>项目</w:t>
            </w:r>
          </w:p>
        </w:tc>
        <w:tc>
          <w:tcPr>
            <w:tcW w:w="1080" w:type="dxa"/>
            <w:tcBorders>
              <w:top w:val="single" w:color="808080" w:sz="4" w:space="0"/>
              <w:left w:val="nil"/>
              <w:bottom w:val="single" w:color="000000" w:sz="4" w:space="0"/>
              <w:right w:val="single" w:color="000000" w:sz="4" w:space="0"/>
            </w:tcBorders>
          </w:tcPr>
          <w:p>
            <w:pPr>
              <w:spacing w:after="160" w:line="259" w:lineRule="auto"/>
              <w:ind w:left="0" w:firstLine="0"/>
            </w:pPr>
          </w:p>
        </w:tc>
        <w:tc>
          <w:tcPr>
            <w:tcW w:w="1440" w:type="dxa"/>
            <w:tcBorders>
              <w:top w:val="single" w:color="808080" w:sz="4" w:space="0"/>
              <w:left w:val="single" w:color="000000" w:sz="4" w:space="0"/>
              <w:bottom w:val="single" w:color="000000" w:sz="4" w:space="0"/>
              <w:right w:val="nil"/>
            </w:tcBorders>
            <w:vAlign w:val="center"/>
          </w:tcPr>
          <w:p>
            <w:pPr>
              <w:spacing w:after="0" w:line="259" w:lineRule="auto"/>
              <w:ind w:left="1" w:firstLine="0"/>
            </w:pPr>
            <w:r>
              <w:rPr>
                <w:sz w:val="20"/>
              </w:rPr>
              <w:t>本年支出</w:t>
            </w:r>
          </w:p>
        </w:tc>
        <w:tc>
          <w:tcPr>
            <w:tcW w:w="1710" w:type="dxa"/>
            <w:tcBorders>
              <w:top w:val="single" w:color="808080" w:sz="4" w:space="0"/>
              <w:left w:val="nil"/>
              <w:bottom w:val="single" w:color="000000" w:sz="4" w:space="0"/>
              <w:right w:val="nil"/>
            </w:tcBorders>
          </w:tcPr>
          <w:p>
            <w:pPr>
              <w:spacing w:after="160" w:line="259" w:lineRule="auto"/>
              <w:ind w:left="0" w:firstLine="0"/>
            </w:pPr>
          </w:p>
        </w:tc>
        <w:tc>
          <w:tcPr>
            <w:tcW w:w="3330" w:type="dxa"/>
            <w:tcBorders>
              <w:top w:val="single" w:color="808080" w:sz="4" w:space="0"/>
              <w:left w:val="nil"/>
              <w:bottom w:val="single" w:color="000000" w:sz="4" w:space="0"/>
              <w:right w:val="single" w:color="000000" w:sz="4" w:space="0"/>
            </w:tcBorders>
          </w:tcPr>
          <w:p>
            <w:pPr>
              <w:spacing w:after="160" w:line="259" w:lineRule="auto"/>
              <w:ind w:left="0" w:firstLine="0"/>
            </w:pPr>
          </w:p>
        </w:tc>
      </w:tr>
      <w:tr>
        <w:tblPrEx>
          <w:tblCellMar>
            <w:top w:w="0" w:type="dxa"/>
            <w:left w:w="107" w:type="dxa"/>
            <w:bottom w:w="0" w:type="dxa"/>
            <w:right w:w="173" w:type="dxa"/>
          </w:tblCellMar>
        </w:tblPrEx>
        <w:trPr>
          <w:trHeight w:val="930" w:hRule="atLeast"/>
        </w:trPr>
        <w:tc>
          <w:tcPr>
            <w:tcW w:w="376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功能分类科目编码</w:t>
            </w:r>
          </w:p>
        </w:tc>
        <w:tc>
          <w:tcPr>
            <w:tcW w:w="108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20"/>
              </w:rPr>
              <w:t>科目名称</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合计</w:t>
            </w:r>
          </w:p>
        </w:tc>
        <w:tc>
          <w:tcPr>
            <w:tcW w:w="17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基本支出</w:t>
            </w:r>
          </w:p>
        </w:tc>
        <w:tc>
          <w:tcPr>
            <w:tcW w:w="333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项目支出</w:t>
            </w:r>
          </w:p>
        </w:tc>
      </w:tr>
      <w:tr>
        <w:tblPrEx>
          <w:tblCellMar>
            <w:top w:w="0" w:type="dxa"/>
            <w:left w:w="107" w:type="dxa"/>
            <w:bottom w:w="0" w:type="dxa"/>
            <w:right w:w="173" w:type="dxa"/>
          </w:tblCellMar>
        </w:tblPrEx>
        <w:trPr>
          <w:trHeight w:val="410" w:hRule="atLeast"/>
        </w:trPr>
        <w:tc>
          <w:tcPr>
            <w:tcW w:w="3765" w:type="dxa"/>
            <w:tcBorders>
              <w:top w:val="single" w:color="000000" w:sz="4" w:space="0"/>
              <w:left w:val="single" w:color="000000" w:sz="4" w:space="0"/>
              <w:bottom w:val="single" w:color="000000" w:sz="4" w:space="0"/>
              <w:right w:val="nil"/>
            </w:tcBorders>
            <w:vAlign w:val="center"/>
          </w:tcPr>
          <w:p>
            <w:pPr>
              <w:spacing w:after="0" w:line="259" w:lineRule="auto"/>
              <w:ind w:left="1" w:firstLine="0"/>
            </w:pPr>
            <w:r>
              <w:rPr>
                <w:sz w:val="20"/>
              </w:rPr>
              <w:t>栏次</w:t>
            </w:r>
          </w:p>
        </w:tc>
        <w:tc>
          <w:tcPr>
            <w:tcW w:w="1080"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w:t>
            </w:r>
          </w:p>
        </w:tc>
        <w:tc>
          <w:tcPr>
            <w:tcW w:w="171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2</w:t>
            </w:r>
          </w:p>
        </w:tc>
        <w:tc>
          <w:tcPr>
            <w:tcW w:w="333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3</w:t>
            </w:r>
          </w:p>
        </w:tc>
      </w:tr>
      <w:tr>
        <w:tblPrEx>
          <w:tblCellMar>
            <w:top w:w="0" w:type="dxa"/>
            <w:left w:w="107" w:type="dxa"/>
            <w:bottom w:w="0" w:type="dxa"/>
            <w:right w:w="173" w:type="dxa"/>
          </w:tblCellMar>
        </w:tblPrEx>
        <w:trPr>
          <w:trHeight w:val="410" w:hRule="atLeast"/>
        </w:trPr>
        <w:tc>
          <w:tcPr>
            <w:tcW w:w="3765" w:type="dxa"/>
            <w:tcBorders>
              <w:top w:val="single" w:color="000000" w:sz="4" w:space="0"/>
              <w:left w:val="single" w:color="000000" w:sz="4" w:space="0"/>
              <w:bottom w:val="single" w:color="000000" w:sz="4" w:space="0"/>
              <w:right w:val="nil"/>
            </w:tcBorders>
            <w:vAlign w:val="center"/>
          </w:tcPr>
          <w:p>
            <w:pPr>
              <w:spacing w:after="0" w:line="259" w:lineRule="auto"/>
              <w:ind w:left="1" w:firstLine="0"/>
            </w:pPr>
            <w:r>
              <w:rPr>
                <w:sz w:val="20"/>
              </w:rPr>
              <w:t>合计</w:t>
            </w:r>
          </w:p>
        </w:tc>
        <w:tc>
          <w:tcPr>
            <w:tcW w:w="1080" w:type="dxa"/>
            <w:tcBorders>
              <w:top w:val="single" w:color="000000" w:sz="4" w:space="0"/>
              <w:left w:val="nil"/>
              <w:bottom w:val="single" w:color="000000" w:sz="4" w:space="0"/>
              <w:right w:val="single" w:color="000000" w:sz="4" w:space="0"/>
            </w:tcBorders>
          </w:tcPr>
          <w:p>
            <w:pPr>
              <w:spacing w:after="160" w:line="259" w:lineRule="auto"/>
              <w:ind w:left="0" w:firstLine="0"/>
            </w:pPr>
          </w:p>
        </w:tc>
        <w:tc>
          <w:tcPr>
            <w:tcW w:w="14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7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33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0" w:type="dxa"/>
            <w:left w:w="107" w:type="dxa"/>
            <w:bottom w:w="0" w:type="dxa"/>
            <w:right w:w="173" w:type="dxa"/>
          </w:tblCellMar>
        </w:tblPrEx>
        <w:trPr>
          <w:trHeight w:val="410" w:hRule="atLeast"/>
        </w:trPr>
        <w:tc>
          <w:tcPr>
            <w:tcW w:w="376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08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4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71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3330"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bl>
    <w:p>
      <w:pPr>
        <w:spacing w:after="4" w:line="250" w:lineRule="auto"/>
        <w:ind w:left="1707" w:hanging="10"/>
      </w:pPr>
      <w:r>
        <w:rPr>
          <w:sz w:val="20"/>
        </w:rPr>
        <w:t>注：本表反映部门本年度国有资本经营预算财政拨款支出情况。</w:t>
      </w:r>
    </w:p>
    <w:p>
      <w:pPr>
        <w:spacing w:after="4" w:line="259" w:lineRule="auto"/>
        <w:ind w:left="2067" w:hanging="10"/>
      </w:pPr>
      <w:r>
        <w:rPr>
          <w:sz w:val="18"/>
        </w:rPr>
        <w:t>1栏各行＝（2＋3）栏各行。</w:t>
      </w:r>
    </w:p>
    <w:p>
      <w:pPr>
        <w:spacing w:after="5" w:line="259" w:lineRule="auto"/>
        <w:ind w:left="2067" w:hanging="10"/>
      </w:pPr>
      <w:r>
        <w:rPr>
          <w:rFonts w:ascii="仿宋" w:hAnsi="仿宋" w:eastAsia="仿宋" w:cs="仿宋"/>
          <w:sz w:val="21"/>
        </w:rPr>
        <w:t>2021</w:t>
      </w:r>
      <w:r>
        <w:rPr>
          <w:sz w:val="21"/>
        </w:rPr>
        <w:t>年度国有资本经营预算财政拨款支出决算表无数据</w:t>
      </w:r>
    </w:p>
    <w:p>
      <w:pPr>
        <w:sectPr>
          <w:pgSz w:w="16851" w:h="11915" w:orient="landscape"/>
          <w:pgMar w:top="1856" w:right="1551" w:bottom="4617" w:left="1534" w:header="720" w:footer="720" w:gutter="0"/>
          <w:cols w:space="720" w:num="1"/>
        </w:sectPr>
      </w:pPr>
    </w:p>
    <w:p>
      <w:pPr>
        <w:spacing w:after="249" w:line="259" w:lineRule="auto"/>
        <w:ind w:left="-15" w:firstLine="0"/>
      </w:pPr>
      <w:r>
        <w:t>第三部分 武汉市黄陂区人民政府大潭办事处（汇总）2021年</w:t>
      </w:r>
    </w:p>
    <w:p>
      <w:pPr>
        <w:spacing w:after="521" w:line="265" w:lineRule="auto"/>
        <w:ind w:left="214" w:right="319" w:hanging="10"/>
        <w:jc w:val="center"/>
      </w:pPr>
      <w:r>
        <w:t>度部门决算情况说明</w:t>
      </w:r>
    </w:p>
    <w:p>
      <w:pPr>
        <w:pStyle w:val="2"/>
        <w:spacing w:after="152"/>
        <w:ind w:left="636"/>
      </w:pPr>
      <w:r>
        <w:t>一、收入支出决算总体情况说明</w:t>
      </w:r>
    </w:p>
    <w:p>
      <w:pPr>
        <w:ind w:left="-15"/>
      </w:pPr>
      <w:r>
        <w:t>2021年度收、支总计2,964.40万元。与2020年度相比，收、支总计各增加209.51万元，增长7.61%，主要原因是工资提标和项目投入加大。</w:t>
      </w:r>
    </w:p>
    <w:p>
      <w:pPr>
        <w:spacing w:line="259" w:lineRule="auto"/>
        <w:ind w:left="641" w:firstLine="0"/>
      </w:pPr>
      <w:r>
        <w:t>图1：收、支决算总计变动情况</w:t>
      </w:r>
    </w:p>
    <w:p>
      <w:pPr>
        <w:spacing w:after="694" w:line="259" w:lineRule="auto"/>
        <w:ind w:left="0" w:firstLine="0"/>
      </w:pPr>
      <w:r>
        <w:drawing>
          <wp:inline distT="0" distB="0" distL="0" distR="0">
            <wp:extent cx="5219700" cy="3886200"/>
            <wp:effectExtent l="0" t="0" r="0" b="0"/>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6"/>
                    <a:stretch>
                      <a:fillRect/>
                    </a:stretch>
                  </pic:blipFill>
                  <pic:spPr>
                    <a:xfrm>
                      <a:off x="0" y="0"/>
                      <a:ext cx="5219700" cy="3886200"/>
                    </a:xfrm>
                    <a:prstGeom prst="rect">
                      <a:avLst/>
                    </a:prstGeom>
                  </pic:spPr>
                </pic:pic>
              </a:graphicData>
            </a:graphic>
          </wp:inline>
        </w:drawing>
      </w:r>
    </w:p>
    <w:p>
      <w:pPr>
        <w:numPr>
          <w:ilvl w:val="0"/>
          <w:numId w:val="2"/>
        </w:numPr>
        <w:spacing w:after="317" w:line="259" w:lineRule="auto"/>
        <w:ind w:hanging="643"/>
      </w:pPr>
      <w:r>
        <w:t>收入决算情况说明</w:t>
      </w:r>
    </w:p>
    <w:p>
      <w:pPr>
        <w:spacing w:after="152" w:line="259" w:lineRule="auto"/>
        <w:ind w:left="10" w:right="100" w:hanging="10"/>
        <w:jc w:val="right"/>
      </w:pPr>
      <w:r>
        <w:t>2021年度收入合计2,964.40万元。其中：财政拨款收入</w:t>
      </w:r>
    </w:p>
    <w:p>
      <w:pPr>
        <w:spacing w:line="259" w:lineRule="auto"/>
        <w:ind w:left="-15" w:firstLine="0"/>
      </w:pPr>
      <w:r>
        <w:t>2,964.40万元，占本年收入100.00%</w:t>
      </w:r>
    </w:p>
    <w:p>
      <w:pPr>
        <w:spacing w:line="259" w:lineRule="auto"/>
        <w:ind w:left="641" w:firstLine="0"/>
      </w:pPr>
      <w:r>
        <w:t>图2：收入决算结构</w:t>
      </w:r>
    </w:p>
    <w:p>
      <w:pPr>
        <w:spacing w:after="694" w:line="259" w:lineRule="auto"/>
        <w:ind w:left="0" w:firstLine="0"/>
      </w:pPr>
      <w:r>
        <w:drawing>
          <wp:inline distT="0" distB="0" distL="0" distR="0">
            <wp:extent cx="5201285" cy="2790190"/>
            <wp:effectExtent l="0" t="0" r="0" b="0"/>
            <wp:docPr id="2335" name="Picture 2335"/>
            <wp:cNvGraphicFramePr/>
            <a:graphic xmlns:a="http://schemas.openxmlformats.org/drawingml/2006/main">
              <a:graphicData uri="http://schemas.openxmlformats.org/drawingml/2006/picture">
                <pic:pic xmlns:pic="http://schemas.openxmlformats.org/drawingml/2006/picture">
                  <pic:nvPicPr>
                    <pic:cNvPr id="2335" name="Picture 2335"/>
                    <pic:cNvPicPr/>
                  </pic:nvPicPr>
                  <pic:blipFill>
                    <a:blip r:embed="rId7"/>
                    <a:stretch>
                      <a:fillRect/>
                    </a:stretch>
                  </pic:blipFill>
                  <pic:spPr>
                    <a:xfrm>
                      <a:off x="0" y="0"/>
                      <a:ext cx="5201412" cy="2790444"/>
                    </a:xfrm>
                    <a:prstGeom prst="rect">
                      <a:avLst/>
                    </a:prstGeom>
                  </pic:spPr>
                </pic:pic>
              </a:graphicData>
            </a:graphic>
          </wp:inline>
        </w:drawing>
      </w:r>
    </w:p>
    <w:p>
      <w:pPr>
        <w:numPr>
          <w:ilvl w:val="0"/>
          <w:numId w:val="2"/>
        </w:numPr>
        <w:spacing w:after="152" w:line="259" w:lineRule="auto"/>
        <w:ind w:hanging="643"/>
      </w:pPr>
      <w:r>
        <w:t>支出决算情况说明</w:t>
      </w:r>
    </w:p>
    <w:p>
      <w:pPr>
        <w:spacing w:after="5"/>
        <w:ind w:left="-15" w:right="100" w:firstLine="631"/>
        <w:jc w:val="both"/>
      </w:pPr>
      <w:r>
        <w:t>2021 年度支出合计 2,964.40 万元。其中：基本支出 1,224.79 万元，占本年支出 41.32%；项目支出 1,739.61 万元，占本年支出58.68%。图3：支出决算结构</w:t>
      </w:r>
    </w:p>
    <w:p>
      <w:pPr>
        <w:spacing w:after="694" w:line="259" w:lineRule="auto"/>
        <w:ind w:left="0" w:firstLine="0"/>
      </w:pPr>
      <w:r>
        <w:drawing>
          <wp:inline distT="0" distB="0" distL="0" distR="0">
            <wp:extent cx="5239385" cy="3505200"/>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8"/>
                    <a:stretch>
                      <a:fillRect/>
                    </a:stretch>
                  </pic:blipFill>
                  <pic:spPr>
                    <a:xfrm>
                      <a:off x="0" y="0"/>
                      <a:ext cx="5239512" cy="3505200"/>
                    </a:xfrm>
                    <a:prstGeom prst="rect">
                      <a:avLst/>
                    </a:prstGeom>
                  </pic:spPr>
                </pic:pic>
              </a:graphicData>
            </a:graphic>
          </wp:inline>
        </w:drawing>
      </w:r>
    </w:p>
    <w:p>
      <w:pPr>
        <w:numPr>
          <w:ilvl w:val="0"/>
          <w:numId w:val="3"/>
        </w:numPr>
        <w:spacing w:after="152" w:line="259" w:lineRule="auto"/>
        <w:ind w:hanging="643"/>
      </w:pPr>
      <w:r>
        <w:t>财政拨款收入支出决算总体情况说明</w:t>
      </w:r>
    </w:p>
    <w:p>
      <w:pPr>
        <w:ind w:left="-15"/>
      </w:pPr>
      <w:r>
        <w:t>2021年度财政拨款收、支总计2,964.40万元。与2020年度相比，财政拨款收、支总计各增加 209.51 万元，增长</w:t>
      </w:r>
    </w:p>
    <w:p>
      <w:pPr>
        <w:spacing w:after="152" w:line="259" w:lineRule="auto"/>
        <w:ind w:left="-15" w:firstLine="0"/>
      </w:pPr>
      <w:r>
        <w:t>7.61%。主要原因是工资提标和项目投入加大。</w:t>
      </w:r>
    </w:p>
    <w:p>
      <w:pPr>
        <w:spacing w:line="259" w:lineRule="auto"/>
        <w:ind w:left="641" w:firstLine="0"/>
      </w:pPr>
      <w:r>
        <w:t>图4：财政拨款收、支决算总计变动情况</w:t>
      </w:r>
    </w:p>
    <w:p>
      <w:pPr>
        <w:spacing w:after="692" w:line="259" w:lineRule="auto"/>
        <w:ind w:left="0" w:firstLine="0"/>
      </w:pPr>
      <w:r>
        <w:drawing>
          <wp:inline distT="0" distB="0" distL="0" distR="0">
            <wp:extent cx="5201285" cy="3258185"/>
            <wp:effectExtent l="0" t="0" r="0" b="0"/>
            <wp:docPr id="2385" name="Picture 2385"/>
            <wp:cNvGraphicFramePr/>
            <a:graphic xmlns:a="http://schemas.openxmlformats.org/drawingml/2006/main">
              <a:graphicData uri="http://schemas.openxmlformats.org/drawingml/2006/picture">
                <pic:pic xmlns:pic="http://schemas.openxmlformats.org/drawingml/2006/picture">
                  <pic:nvPicPr>
                    <pic:cNvPr id="2385" name="Picture 2385"/>
                    <pic:cNvPicPr/>
                  </pic:nvPicPr>
                  <pic:blipFill>
                    <a:blip r:embed="rId9"/>
                    <a:stretch>
                      <a:fillRect/>
                    </a:stretch>
                  </pic:blipFill>
                  <pic:spPr>
                    <a:xfrm>
                      <a:off x="0" y="0"/>
                      <a:ext cx="5201412" cy="3258312"/>
                    </a:xfrm>
                    <a:prstGeom prst="rect">
                      <a:avLst/>
                    </a:prstGeom>
                  </pic:spPr>
                </pic:pic>
              </a:graphicData>
            </a:graphic>
          </wp:inline>
        </w:drawing>
      </w:r>
    </w:p>
    <w:p>
      <w:pPr>
        <w:numPr>
          <w:ilvl w:val="0"/>
          <w:numId w:val="3"/>
        </w:numPr>
        <w:spacing w:after="152" w:line="259" w:lineRule="auto"/>
        <w:ind w:hanging="643"/>
      </w:pPr>
      <w:r>
        <w:t>一般公共预算财政拨款支出决算情况说明</w:t>
      </w:r>
    </w:p>
    <w:p>
      <w:pPr>
        <w:spacing w:after="152" w:line="259" w:lineRule="auto"/>
        <w:ind w:left="641" w:firstLine="0"/>
      </w:pPr>
      <w:r>
        <w:t>（一）财政拨款支出决算总体情况。</w:t>
      </w:r>
    </w:p>
    <w:p>
      <w:pPr>
        <w:ind w:left="-15"/>
      </w:pPr>
      <w:r>
        <w:t>2021年度财政拨款支出2,964.40万元，占本年支出合计的 100.00%。与2020年度相比，财政拨款支出增加209.51万元，</w:t>
      </w:r>
    </w:p>
    <w:p>
      <w:pPr>
        <w:spacing w:after="28" w:line="259" w:lineRule="auto"/>
        <w:ind w:left="-15" w:firstLine="0"/>
      </w:pPr>
      <w:r>
        <w:t>增长7.61 %。主要原因是工资提标和项目投入加大。</w:t>
      </w:r>
    </w:p>
    <w:p>
      <w:pPr>
        <w:spacing w:after="123" w:line="259" w:lineRule="auto"/>
        <w:ind w:left="480" w:firstLine="0"/>
      </w:pPr>
      <w:r>
        <w:t>(二）财政拨款支出决算结构情况。</w:t>
      </w:r>
    </w:p>
    <w:p>
      <w:pPr>
        <w:ind w:left="-15"/>
      </w:pPr>
      <w:r>
        <w:t>2021年度财政拨款支出2,964.40万元，主要用于以下方面：一般公共服务（类）支出1146.72万元，占38.68%；主要是</w:t>
      </w:r>
      <w:r>
        <w:rPr>
          <w:color w:val="333333"/>
        </w:rPr>
        <w:t>基本工资、津贴补贴、奖金、人员经费等支出。</w:t>
      </w:r>
    </w:p>
    <w:p>
      <w:pPr>
        <w:ind w:left="-15"/>
      </w:pPr>
      <w:r>
        <w:t>教育（类）支出3万元，占0.1%；主要是科学化教育支出。</w:t>
      </w:r>
    </w:p>
    <w:p>
      <w:pPr>
        <w:spacing w:after="152" w:line="259" w:lineRule="auto"/>
        <w:ind w:left="10" w:right="100" w:hanging="10"/>
        <w:jc w:val="right"/>
      </w:pPr>
      <w:r>
        <w:t>文化旅游体育与传媒（类）支出10.77万元，占0.36%；</w:t>
      </w:r>
      <w:r>
        <w:rPr>
          <w:color w:val="333333"/>
        </w:rPr>
        <w:t>主</w:t>
      </w:r>
    </w:p>
    <w:p>
      <w:pPr>
        <w:spacing w:after="0" w:line="347" w:lineRule="auto"/>
        <w:ind w:left="-5" w:hanging="10"/>
      </w:pPr>
      <w:r>
        <w:rPr>
          <w:color w:val="333333"/>
        </w:rPr>
        <w:t>要是文体中心人员服务经费。</w:t>
      </w:r>
      <w:r>
        <w:t>社会保障和就业（类）支出89.85万元，占3.03%；</w:t>
      </w:r>
      <w:r>
        <w:rPr>
          <w:color w:val="333333"/>
        </w:rPr>
        <w:t>主要是退休人员的退休费，政府绩效、社区新冠疫情防控资金。</w:t>
      </w:r>
    </w:p>
    <w:p>
      <w:pPr>
        <w:ind w:left="-15"/>
      </w:pPr>
      <w:r>
        <w:t>卫生健康（类）支出117.96万元，占3.98%；主</w:t>
      </w:r>
      <w:r>
        <w:rPr>
          <w:color w:val="333333"/>
        </w:rPr>
        <w:t>要是在职和退休人员基本医疗保险、新冠疫情防控资金等。</w:t>
      </w:r>
    </w:p>
    <w:p>
      <w:pPr>
        <w:ind w:left="-15"/>
      </w:pPr>
      <w:r>
        <w:t>城乡社区（类）支出526.22万元，占17.75%；</w:t>
      </w:r>
      <w:r>
        <w:rPr>
          <w:color w:val="333333"/>
        </w:rPr>
        <w:t>主要是乡镇年终运转及建设项目；征地拆迁补偿等。</w:t>
      </w:r>
    </w:p>
    <w:p>
      <w:pPr>
        <w:spacing w:after="0" w:line="347" w:lineRule="auto"/>
        <w:ind w:left="-15" w:firstLine="641"/>
      </w:pPr>
      <w:r>
        <w:t>农林水（类）支出909.71万元，占30.69%；</w:t>
      </w:r>
      <w:r>
        <w:rPr>
          <w:color w:val="333333"/>
        </w:rPr>
        <w:t>主要是村干部报酬；农田水利支出；农业中心服务经费等。</w:t>
      </w:r>
    </w:p>
    <w:p>
      <w:pPr>
        <w:ind w:left="-15"/>
      </w:pPr>
      <w:r>
        <w:t>住房保障（类）支出133.17万元，占4.49%；</w:t>
      </w:r>
      <w:r>
        <w:rPr>
          <w:color w:val="333333"/>
        </w:rPr>
        <w:t>主要是在职人员住房公积金，在职和退休人员提租补贴。</w:t>
      </w:r>
    </w:p>
    <w:p>
      <w:pPr>
        <w:ind w:left="-15"/>
      </w:pPr>
      <w:r>
        <w:t>灾害防治及应急管理（类）支出27万元，占0.91%。</w:t>
      </w:r>
      <w:r>
        <w:rPr>
          <w:color w:val="333333"/>
        </w:rPr>
        <w:t>主要是灾害防治及消防工作经费。</w:t>
      </w:r>
    </w:p>
    <w:p>
      <w:pPr>
        <w:spacing w:after="152" w:line="259" w:lineRule="auto"/>
        <w:ind w:left="641" w:firstLine="0"/>
      </w:pPr>
      <w:r>
        <w:t>（三）财政拨款支出决算具体情况。</w:t>
      </w:r>
    </w:p>
    <w:p>
      <w:pPr>
        <w:ind w:left="-15"/>
      </w:pPr>
      <w:r>
        <w:t>2021年度一般公共预算财政拨款支出年初预算为1,211.16 万元，支出决算为2,964.40万元，完成年初预算的244.76%。其中：基本支出1,224.79万元，项目支出1,739.61万元。项目支出主要用于社会管理、维稳、乡镇运转等经费71.18万元，主要保障了社会稳定和机构运转；财政业务费2万元，主要用于财政开展业务，拓展财源建设；离任村干部生活补助5.4 万元，主要保障了离任村干部生活；就业补助资金4.33万元，用于民政协管员经费；大潭污水管网建设项目441.7万元；大城管及村湾环境整治项目84.52万元为新农村环境建设提供了保障。农业专项建设资金289万元，农业生产发展资金74.25 万元，对农民进行耕地地力保护补贴和种粮农民一次性补贴；农村公益事业</w:t>
      </w:r>
      <w:r>
        <w:rPr>
          <w:rFonts w:hint="eastAsia"/>
          <w:lang w:eastAsia="zh-CN"/>
        </w:rPr>
        <w:t>扶贫</w:t>
      </w:r>
      <w:r>
        <w:t>项目建设25万元，改善了农村基础设施建设；村干部报酬及村级办公经费支出368.48万元，主要用于村干部人员报酬及村级办公费的支出等；灾害防治及应急管理支出27万元，系消防经费和冬春灾害救助资金；“以钱养事”资金54.79万元，保障了农业、水产、畜牧、文化、社会事务的正常运行。</w:t>
      </w:r>
    </w:p>
    <w:p>
      <w:pPr>
        <w:ind w:left="-15"/>
      </w:pPr>
      <w:r>
        <w:t>1.一般公共服务支出(类)。年初预算为680.46万元，支出决算为1146.72万元，完成年初预算的168.52%，支出决算数大于年初预算数。</w:t>
      </w:r>
    </w:p>
    <w:p>
      <w:pPr>
        <w:ind w:left="-15"/>
      </w:pPr>
      <w:r>
        <w:t>2.教育支出(类)。年初预算为0.00万元，支出决算为3万元，完成年初预算的0%，支出决算数大于年初预算数的原因是没有列年初预算。</w:t>
      </w:r>
    </w:p>
    <w:p>
      <w:pPr>
        <w:ind w:left="-15"/>
      </w:pPr>
      <w:r>
        <w:t>3.文化旅游体育与传媒支出(类)。年初预算为1.68万元，支出决算为10.77万元，完成年初预算的641.07%，支出决算数大于年初预算数。</w:t>
      </w:r>
    </w:p>
    <w:p>
      <w:pPr>
        <w:ind w:left="-15"/>
      </w:pPr>
      <w:r>
        <w:t>4.社会保障和就业支出(类)。年初预算为169.77万元，支出决算为89.85万元，完成年初预算的52.92%，支出决算数大于年初预算数。</w:t>
      </w:r>
    </w:p>
    <w:p>
      <w:pPr>
        <w:ind w:left="-15"/>
      </w:pPr>
      <w:r>
        <w:t>5.卫生健康支出(类)。年初预算为42.23万元，支出决算为117.96万元，完成年初预算的279.33%，支出决算数大于年初预算数。</w:t>
      </w:r>
    </w:p>
    <w:p>
      <w:pPr>
        <w:ind w:left="-15"/>
      </w:pPr>
      <w:r>
        <w:t>6.城乡社区支出(类)。年初预算为124.92万元，支出决算为526.22万元，完成年初预算的421.25%，支出决算数大于年初预算数。</w:t>
      </w:r>
    </w:p>
    <w:p>
      <w:pPr>
        <w:spacing w:after="152" w:line="259" w:lineRule="auto"/>
        <w:ind w:left="10" w:right="100" w:hanging="10"/>
        <w:jc w:val="right"/>
      </w:pPr>
      <w:r>
        <w:t>7.农林水支出(类)。年初预算为127.42万元，支出决算为</w:t>
      </w:r>
    </w:p>
    <w:p>
      <w:pPr>
        <w:ind w:left="-15" w:firstLine="0"/>
      </w:pPr>
      <w:r>
        <w:t>909.71万元，完成年初预算的713.95%，支出决算数大于年初预算数。</w:t>
      </w:r>
    </w:p>
    <w:p>
      <w:pPr>
        <w:ind w:left="-15"/>
      </w:pPr>
      <w:r>
        <w:t>8.住房保障支出(类)。年初预算为54.68万元，支出决算为133.17万元，完成年初预算的243.54%，支出决算数大于年初预算数。</w:t>
      </w:r>
    </w:p>
    <w:p>
      <w:pPr>
        <w:ind w:left="-15"/>
      </w:pPr>
      <w:r>
        <w:t>9.灾害防治及应急管理支出(类)。年初预算为0.00万元，支出决算为27万元，完成年初预算的0%，支出决算数大的主要原因是年初没有部门预算。</w:t>
      </w:r>
    </w:p>
    <w:p>
      <w:pPr>
        <w:numPr>
          <w:ilvl w:val="0"/>
          <w:numId w:val="4"/>
        </w:numPr>
        <w:spacing w:after="152" w:line="259" w:lineRule="auto"/>
      </w:pPr>
      <w:r>
        <w:t>一般公共预算财政拨款基本支出决算情况说明</w:t>
      </w:r>
    </w:p>
    <w:p>
      <w:pPr>
        <w:ind w:left="-15"/>
      </w:pPr>
      <w:r>
        <w:t>2021年度一般公共预算财政拨款基本支出1,224.79万元，其中：</w:t>
      </w:r>
    </w:p>
    <w:p>
      <w:pPr>
        <w:ind w:left="-15"/>
      </w:pPr>
      <w:r>
        <w:t>人员经费1,103.79万元，主要包括：基本工资145.99万元、津贴补贴600.83万元、奖金9.97万元、绩效工资75.6万元、其他社会保障缴费117.96万元、住房公积金110.03万元、退休费10.2万元、抚恤金19.51万元、生活补助13.7万元。</w:t>
      </w:r>
    </w:p>
    <w:p>
      <w:pPr>
        <w:spacing w:after="5"/>
        <w:ind w:left="-15" w:right="100" w:firstLine="631"/>
        <w:jc w:val="both"/>
      </w:pPr>
      <w:r>
        <w:t>公用经费121.00万元，主要包括：办公费0.67万元、水费0.85万元、电费8.87万元、邮电费0.93万元、差旅费0.4 万元、劳务费89.1万元、公务用车运行维护费5.1万元、办公设备购置15.08万元。</w:t>
      </w:r>
    </w:p>
    <w:p>
      <w:pPr>
        <w:numPr>
          <w:ilvl w:val="0"/>
          <w:numId w:val="4"/>
        </w:numPr>
      </w:pPr>
      <w:r>
        <w:t>一般公共预算财政拨款“三公 ”经费支出决算情况说明</w:t>
      </w:r>
    </w:p>
    <w:p>
      <w:pPr>
        <w:spacing w:after="152" w:line="259" w:lineRule="auto"/>
        <w:ind w:left="641" w:firstLine="0"/>
      </w:pPr>
      <w:r>
        <w:t>(一)“三公”经费的单位范围。</w:t>
      </w:r>
    </w:p>
    <w:p>
      <w:pPr>
        <w:ind w:left="-15"/>
      </w:pPr>
      <w:r>
        <w:t>武汉市黄陂区人民政府大潭办事处（汇总）有一般公共预算财政拨款预算安排“三公”经费的单位包括武汉市黄陂区人民政府大潭办事处（汇总）本级及下属1个行政单位、0 个参公事业单位、1个全额拨款事业单位。</w:t>
      </w:r>
    </w:p>
    <w:p>
      <w:pPr>
        <w:spacing w:after="152" w:line="259" w:lineRule="auto"/>
        <w:ind w:left="10" w:right="355" w:hanging="10"/>
        <w:jc w:val="right"/>
      </w:pPr>
      <w:r>
        <w:t>(二)一般公共预算财政拨款“三公”经费支出决算情况。</w:t>
      </w:r>
    </w:p>
    <w:p>
      <w:pPr>
        <w:ind w:left="-15"/>
      </w:pPr>
      <w:r>
        <w:t>2021年度“三公”经费财政拨款年初预算数为5.32万元，支出决算为5.10万元，完成年初预算的95.86%，其中：</w:t>
      </w:r>
    </w:p>
    <w:p>
      <w:pPr>
        <w:spacing w:after="152" w:line="259" w:lineRule="auto"/>
        <w:ind w:left="10" w:right="100" w:hanging="10"/>
        <w:jc w:val="right"/>
      </w:pPr>
      <w:r>
        <w:t>1.因公出国(境)费支出决算为0.00万元，完成年初预算的</w:t>
      </w:r>
    </w:p>
    <w:p>
      <w:pPr>
        <w:spacing w:after="184" w:line="259" w:lineRule="auto"/>
        <w:ind w:left="-15" w:firstLine="0"/>
      </w:pPr>
      <w:r>
        <w:t>0%，比年初预算增加(减少) 0.00万元。</w:t>
      </w:r>
    </w:p>
    <w:p>
      <w:pPr>
        <w:ind w:left="-15"/>
      </w:pPr>
      <w:r>
        <w:t>2.公务用车购置及运行费支出决算为5.10万元，完成年初预算的95.86%；其中：</w:t>
      </w:r>
    </w:p>
    <w:p>
      <w:pPr>
        <w:ind w:left="-15"/>
      </w:pPr>
      <w:r>
        <w:t>(1)公务用车购置费0.00万元，完成年初预算的0%，比年初预算增加(减少) 0.00万元。本年度购置(更新)公务用车0 辆。</w:t>
      </w:r>
    </w:p>
    <w:p>
      <w:pPr>
        <w:ind w:left="-15"/>
      </w:pPr>
      <w:r>
        <w:t>(2)公务用车运行费5.10万元，完成年初预算的95.86%，比年初预算减少0.22万元，主要原因是规范制度，</w:t>
      </w:r>
      <w:r>
        <w:rPr>
          <w:rFonts w:hint="eastAsia"/>
          <w:lang w:eastAsia="zh-CN"/>
        </w:rPr>
        <w:t>厉行节约</w:t>
      </w:r>
      <w:r>
        <w:t>，减少不必要的用车。主要用于车辆燃料费和维修费及保险费等，其中：燃料费2.56万元；维修费1.57万元；保险费0.97 万元。截止2021年12月31日，开支财政拨款的公务用车保有量2辆。</w:t>
      </w:r>
    </w:p>
    <w:p>
      <w:pPr>
        <w:ind w:left="-15"/>
      </w:pPr>
      <w:r>
        <w:t>3.公务接待费支出决算为0.00万元，完成年初预算的0%，比年初预算增加(减少) 0.00万元。</w:t>
      </w:r>
    </w:p>
    <w:p>
      <w:pPr>
        <w:ind w:left="-15"/>
      </w:pPr>
      <w:r>
        <w:t>2021年度“三公”经费财政拨款支出决算数比2020年度增减少0.22万元，下降4.13 %，其中：公务用车购置及运行费支出决算减少0.22万元，下降4.13%，公务用车购置及运行费支出决算减少的主要原因是车辆维修费及长江新区招商引资业务减少，车辆管理更加规范，减少不必要用车等。</w:t>
      </w:r>
    </w:p>
    <w:p>
      <w:pPr>
        <w:numPr>
          <w:ilvl w:val="0"/>
          <w:numId w:val="5"/>
        </w:numPr>
        <w:spacing w:after="152" w:line="259" w:lineRule="auto"/>
        <w:ind w:hanging="643"/>
      </w:pPr>
      <w:r>
        <w:t>政府性基金预算财政拨款收入支出决算情况</w:t>
      </w:r>
    </w:p>
    <w:p>
      <w:pPr>
        <w:ind w:left="-15"/>
      </w:pPr>
      <w:r>
        <w:t>2021年度政府性基金预算财政拨款年初结转和结余0.00万元，本年收入0.00万元，本年支出0.00万元，年末结转和结余0.00万元。</w:t>
      </w:r>
    </w:p>
    <w:p>
      <w:pPr>
        <w:numPr>
          <w:ilvl w:val="0"/>
          <w:numId w:val="5"/>
        </w:numPr>
        <w:spacing w:after="152" w:line="259" w:lineRule="auto"/>
        <w:ind w:hanging="643"/>
      </w:pPr>
      <w:r>
        <w:t>国有资本经营预算财政拨款支出决算情况</w:t>
      </w:r>
    </w:p>
    <w:p>
      <w:pPr>
        <w:spacing w:after="161" w:line="259" w:lineRule="auto"/>
        <w:ind w:left="641" w:firstLine="0"/>
      </w:pPr>
      <w:r>
        <w:t>2021年度国有资本经营预算财政拨款本年支出0.00万元。</w:t>
      </w:r>
    </w:p>
    <w:p>
      <w:pPr>
        <w:pStyle w:val="3"/>
        <w:spacing w:after="182" w:line="259" w:lineRule="auto"/>
        <w:ind w:left="636"/>
        <w:jc w:val="left"/>
      </w:pPr>
      <w:r>
        <w:rPr>
          <w:rFonts w:ascii="Times New Roman" w:hAnsi="Times New Roman" w:eastAsia="Times New Roman" w:cs="Times New Roman"/>
        </w:rPr>
        <w:t xml:space="preserve">1. </w:t>
      </w:r>
      <w:r>
        <w:rPr>
          <w:rFonts w:ascii="黑体" w:hAnsi="黑体" w:eastAsia="黑体" w:cs="黑体"/>
        </w:rPr>
        <w:t>机关运行经费支出情况</w:t>
      </w:r>
    </w:p>
    <w:p>
      <w:pPr>
        <w:spacing w:after="5"/>
        <w:ind w:left="-15" w:right="100" w:firstLine="631"/>
        <w:jc w:val="both"/>
      </w:pPr>
      <w:r>
        <w:t>2021年度 武汉市黄陂区人民政府大潭办事处（汇总）机关运行经费支出109.05万元，比2020年度增加 60.31万元，增长123.74%。主要原因是主要原因是物价上涨，办公成本加大。</w:t>
      </w:r>
    </w:p>
    <w:p>
      <w:pPr>
        <w:pStyle w:val="3"/>
        <w:spacing w:after="182" w:line="259" w:lineRule="auto"/>
        <w:ind w:left="636"/>
        <w:jc w:val="left"/>
      </w:pPr>
      <w:r>
        <w:rPr>
          <w:rFonts w:ascii="Times New Roman" w:hAnsi="Times New Roman" w:eastAsia="Times New Roman" w:cs="Times New Roman"/>
        </w:rPr>
        <w:t xml:space="preserve">2. </w:t>
      </w:r>
      <w:r>
        <w:rPr>
          <w:rFonts w:ascii="黑体" w:hAnsi="黑体" w:eastAsia="黑体" w:cs="黑体"/>
        </w:rPr>
        <w:t>政府采购支出情况</w:t>
      </w:r>
    </w:p>
    <w:p>
      <w:pPr>
        <w:spacing w:after="42"/>
        <w:ind w:left="-15"/>
      </w:pPr>
      <w:r>
        <w:t>2021年度 武汉市黄陂区人民政府大潭办事处（汇总）政府采购支出总额168.77万元，其中：政府采购货物支出14.77万元、政府采购工程支出102.00万元、政府采购服务支出52.00万元。授予中小企业合同金额164.77万元，占政府采购支出总额的97.63%，其中：授予小微企业合同金额164.77万元，占授予中小企业合同金额的100.00 %。</w:t>
      </w:r>
    </w:p>
    <w:p>
      <w:pPr>
        <w:pStyle w:val="3"/>
        <w:spacing w:after="182" w:line="259" w:lineRule="auto"/>
        <w:ind w:left="636"/>
        <w:jc w:val="left"/>
      </w:pPr>
      <w:r>
        <w:rPr>
          <w:rFonts w:ascii="Times New Roman" w:hAnsi="Times New Roman" w:eastAsia="Times New Roman" w:cs="Times New Roman"/>
        </w:rPr>
        <w:t xml:space="preserve">3. </w:t>
      </w:r>
      <w:r>
        <w:rPr>
          <w:rFonts w:ascii="黑体" w:hAnsi="黑体" w:eastAsia="黑体" w:cs="黑体"/>
        </w:rPr>
        <w:t>国有资产占用情况</w:t>
      </w:r>
    </w:p>
    <w:p>
      <w:pPr>
        <w:ind w:left="-15"/>
      </w:pPr>
      <w:r>
        <w:t>截至2021年12月31日，武汉市黄陂区人民政府大潭办事处（汇总）共有车辆2辆，其中，主要领导干部用车1辆，应急保障用车1辆。单价50 万元(含)以上通用设备0台(套)，单价100万元(含)以上专用设备0台(套)。</w:t>
      </w:r>
    </w:p>
    <w:p>
      <w:pPr>
        <w:pStyle w:val="3"/>
        <w:spacing w:after="182" w:line="259" w:lineRule="auto"/>
        <w:ind w:left="636"/>
        <w:jc w:val="left"/>
      </w:pPr>
      <w:r>
        <w:rPr>
          <w:rFonts w:ascii="Times New Roman" w:hAnsi="Times New Roman" w:eastAsia="Times New Roman" w:cs="Times New Roman"/>
        </w:rPr>
        <w:t xml:space="preserve">4. </w:t>
      </w:r>
      <w:r>
        <w:rPr>
          <w:rFonts w:ascii="黑体" w:hAnsi="黑体" w:eastAsia="黑体" w:cs="黑体"/>
        </w:rPr>
        <w:t>预算绩效情况说明</w:t>
      </w:r>
    </w:p>
    <w:p>
      <w:pPr>
        <w:spacing w:after="152" w:line="259" w:lineRule="auto"/>
        <w:ind w:left="641" w:firstLine="0"/>
      </w:pPr>
      <w:r>
        <w:t>(一)预算绩效管理工作开展情况</w:t>
      </w:r>
    </w:p>
    <w:p>
      <w:pPr>
        <w:ind w:left="-15"/>
      </w:pPr>
      <w:r>
        <w:t>根据预算绩效管理要求，我部门（单位）组织对2021年度一般公共预算项目支出全面开展绩效自评，共涉及项目18个，资金1739.61万元，占一般公共预算项目支出总额的100%。从绩效评价 情况来看，所有项目全部完工，质量优良，环境明显所改善，群众满意度高，社会效益良好。</w:t>
      </w:r>
    </w:p>
    <w:p>
      <w:pPr>
        <w:spacing w:after="152" w:line="259" w:lineRule="auto"/>
        <w:ind w:left="641" w:firstLine="0"/>
      </w:pPr>
      <w:r>
        <w:t>(二)部门（单位）整体支出自评结果</w:t>
      </w:r>
    </w:p>
    <w:p>
      <w:pPr>
        <w:ind w:left="-15"/>
      </w:pPr>
      <w:r>
        <w:t>我部门（单位）组织对2个部门（单位）开展整体支出绩效自评，资金1739.61万元，从评价情况来看，办事处年度目标全部落实，总体经济实力得以增强，区域发展步伐加快；农村农业基础设施功能不断完善，生态宜居乡镇建设品质得以提升，人民安居乐业，新农村建设面貌得以大幅提升；基层党组织建设不断加强，政府服务经济社会发展能力得以提升；法制建设得以健全，依法治国全面落实，大潭正大步快跑又快又好地向前发展，为全面融入长江新区奠定了坚实基础。</w:t>
      </w:r>
    </w:p>
    <w:p>
      <w:pPr>
        <w:spacing w:after="152" w:line="259" w:lineRule="auto"/>
        <w:ind w:left="641" w:firstLine="0"/>
      </w:pPr>
      <w:r>
        <w:t>(三)项目支出自评结果</w:t>
      </w:r>
    </w:p>
    <w:p>
      <w:pPr>
        <w:ind w:left="94"/>
      </w:pPr>
      <w:r>
        <w:t>我部门（单位）在2021年度部门决算中反映所有项目绩效自评结果（不包括涉密项目），共涉及1个一级项目。</w:t>
      </w:r>
    </w:p>
    <w:p>
      <w:pPr>
        <w:ind w:left="94"/>
      </w:pPr>
      <w:r>
        <w:t>墩子河村公益性建设项目绩效自评综述：项目全年预算数为15万元，执行数为15万元，完成预算的100%。主要产出和效益是：126盏路灯的安装项目建设依托墩子河村现有的基础条件，尊重农民意愿，充分调动农民的积极性，结合村庄环境整治建设，整合各类资源，以改善农村基础设施条件为目的，突出乡村特色，积极开展以农村公益基础设施建设为主要建设内容，通过路灯安装项目工程的成功实施，使项目村交通条件、环境条件得以改善，群众出行便利，解决了出门难。提高群众</w:t>
      </w:r>
    </w:p>
    <w:p>
      <w:pPr>
        <w:spacing w:after="87" w:line="259" w:lineRule="auto"/>
        <w:ind w:left="94" w:firstLine="0"/>
      </w:pPr>
      <w:r>
        <w:t>的生产生活水平，促进新农村建设。</w:t>
      </w:r>
    </w:p>
    <w:p>
      <w:pPr>
        <w:pStyle w:val="3"/>
        <w:spacing w:after="53"/>
        <w:ind w:left="214" w:right="113"/>
      </w:pPr>
      <w:r>
        <w:t>2021年度墩子河村公益性建设项目绩效目标自评表</w:t>
      </w:r>
    </w:p>
    <w:p>
      <w:pPr>
        <w:spacing w:after="0" w:line="259" w:lineRule="auto"/>
        <w:ind w:left="92" w:firstLine="0"/>
        <w:jc w:val="center"/>
      </w:pPr>
      <w:r>
        <w:rPr>
          <w:sz w:val="24"/>
        </w:rPr>
        <w:t>（</w:t>
      </w:r>
      <w:r>
        <w:rPr>
          <w:rFonts w:ascii="楷体" w:hAnsi="楷体" w:eastAsia="楷体" w:cs="楷体"/>
          <w:sz w:val="24"/>
        </w:rPr>
        <w:t>2021</w:t>
      </w:r>
      <w:r>
        <w:rPr>
          <w:sz w:val="24"/>
        </w:rPr>
        <w:t>年度）</w:t>
      </w:r>
    </w:p>
    <w:tbl>
      <w:tblPr>
        <w:tblStyle w:val="8"/>
        <w:tblW w:w="9117" w:type="dxa"/>
        <w:tblInd w:w="-14" w:type="dxa"/>
        <w:tblLayout w:type="autofit"/>
        <w:tblCellMar>
          <w:top w:w="34" w:type="dxa"/>
          <w:left w:w="107" w:type="dxa"/>
          <w:bottom w:w="0" w:type="dxa"/>
          <w:right w:w="108" w:type="dxa"/>
        </w:tblCellMar>
      </w:tblPr>
      <w:tblGrid>
        <w:gridCol w:w="614"/>
        <w:gridCol w:w="610"/>
        <w:gridCol w:w="1123"/>
        <w:gridCol w:w="1513"/>
        <w:gridCol w:w="915"/>
        <w:gridCol w:w="1474"/>
        <w:gridCol w:w="683"/>
        <w:gridCol w:w="2185"/>
      </w:tblGrid>
      <w:tr>
        <w:tblPrEx>
          <w:tblCellMar>
            <w:top w:w="34" w:type="dxa"/>
            <w:left w:w="107" w:type="dxa"/>
            <w:bottom w:w="0" w:type="dxa"/>
            <w:right w:w="108" w:type="dxa"/>
          </w:tblCellMar>
        </w:tblPrEx>
        <w:trPr>
          <w:trHeight w:val="412" w:hRule="atLeast"/>
        </w:trPr>
        <w:tc>
          <w:tcPr>
            <w:tcW w:w="2350"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转移支付（项目）名称</w:t>
            </w:r>
          </w:p>
        </w:tc>
        <w:tc>
          <w:tcPr>
            <w:tcW w:w="6767" w:type="dxa"/>
            <w:gridSpan w:val="5"/>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pPr>
            <w:r>
              <w:rPr>
                <w:sz w:val="20"/>
              </w:rPr>
              <w:t>墩子河村公益性建设</w:t>
            </w:r>
          </w:p>
        </w:tc>
      </w:tr>
      <w:tr>
        <w:tblPrEx>
          <w:tblCellMar>
            <w:top w:w="34" w:type="dxa"/>
            <w:left w:w="107" w:type="dxa"/>
            <w:bottom w:w="0" w:type="dxa"/>
            <w:right w:w="108" w:type="dxa"/>
          </w:tblCellMar>
        </w:tblPrEx>
        <w:trPr>
          <w:trHeight w:val="529" w:hRule="atLeast"/>
        </w:trPr>
        <w:tc>
          <w:tcPr>
            <w:tcW w:w="2350"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县级主管部门</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区财政局</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实施单位</w:t>
            </w:r>
          </w:p>
        </w:tc>
        <w:tc>
          <w:tcPr>
            <w:tcW w:w="2863"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黄陂区大潭办事处墩子河村民委员会</w:t>
            </w:r>
          </w:p>
        </w:tc>
      </w:tr>
      <w:tr>
        <w:tblPrEx>
          <w:tblCellMar>
            <w:top w:w="34" w:type="dxa"/>
            <w:left w:w="107" w:type="dxa"/>
            <w:bottom w:w="0" w:type="dxa"/>
            <w:right w:w="108" w:type="dxa"/>
          </w:tblCellMar>
        </w:tblPrEx>
        <w:trPr>
          <w:trHeight w:val="788" w:hRule="atLeast"/>
        </w:trPr>
        <w:tc>
          <w:tcPr>
            <w:tcW w:w="2350"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right="536" w:firstLine="0"/>
            </w:pPr>
            <w:r>
              <w:rPr>
                <w:sz w:val="20"/>
              </w:rPr>
              <w:t>项目资金（万元）</w:t>
            </w:r>
          </w:p>
        </w:tc>
        <w:tc>
          <w:tcPr>
            <w:tcW w:w="1514"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915" w:type="dxa"/>
            <w:tcBorders>
              <w:top w:val="single" w:color="000000" w:sz="4" w:space="0"/>
              <w:left w:val="single" w:color="000000" w:sz="4" w:space="0"/>
              <w:bottom w:val="single" w:color="000000" w:sz="4" w:space="0"/>
              <w:right w:val="single" w:color="000000" w:sz="4" w:space="0"/>
            </w:tcBorders>
          </w:tcPr>
          <w:p>
            <w:pPr>
              <w:spacing w:after="23" w:line="238" w:lineRule="auto"/>
              <w:ind w:left="0" w:firstLine="0"/>
              <w:jc w:val="center"/>
            </w:pPr>
            <w:r>
              <w:rPr>
                <w:sz w:val="20"/>
              </w:rPr>
              <w:t>全年预算</w:t>
            </w:r>
            <w:r>
              <w:rPr>
                <w:sz w:val="20"/>
              </w:rPr>
              <w:tab/>
            </w:r>
            <w:r>
              <w:rPr>
                <w:sz w:val="20"/>
              </w:rPr>
              <w:t>数</w:t>
            </w:r>
          </w:p>
          <w:p>
            <w:pPr>
              <w:spacing w:after="0" w:line="259" w:lineRule="auto"/>
              <w:ind w:left="1" w:firstLine="0"/>
            </w:pPr>
            <w:r>
              <w:rPr>
                <w:sz w:val="20"/>
              </w:rPr>
              <w:t>（A）</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0"/>
              </w:rPr>
              <w:t>全年执行数</w:t>
            </w:r>
          </w:p>
          <w:p>
            <w:pPr>
              <w:spacing w:after="0" w:line="259" w:lineRule="auto"/>
              <w:ind w:left="0" w:firstLine="0"/>
            </w:pPr>
            <w:r>
              <w:rPr>
                <w:sz w:val="20"/>
              </w:rPr>
              <w:t>（B）</w:t>
            </w:r>
          </w:p>
        </w:tc>
        <w:tc>
          <w:tcPr>
            <w:tcW w:w="2863"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预算执行率（B/A）</w:t>
            </w:r>
          </w:p>
        </w:tc>
      </w:tr>
      <w:tr>
        <w:tblPrEx>
          <w:tblCellMar>
            <w:top w:w="34" w:type="dxa"/>
            <w:left w:w="107" w:type="dxa"/>
            <w:bottom w:w="0" w:type="dxa"/>
            <w:right w:w="108" w:type="dxa"/>
          </w:tblCellMar>
        </w:tblPrEx>
        <w:trPr>
          <w:trHeight w:val="529" w:hRule="atLeast"/>
        </w:trPr>
        <w:tc>
          <w:tcPr>
            <w:tcW w:w="0" w:type="auto"/>
            <w:gridSpan w:val="3"/>
            <w:vMerge w:val="continue"/>
            <w:tcBorders>
              <w:top w:val="nil"/>
              <w:left w:val="single" w:color="000000" w:sz="4" w:space="0"/>
              <w:bottom w:val="nil"/>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年 度 资 金 总额:</w:t>
            </w:r>
          </w:p>
        </w:tc>
        <w:tc>
          <w:tcPr>
            <w:tcW w:w="9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15</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15</w:t>
            </w:r>
          </w:p>
        </w:tc>
        <w:tc>
          <w:tcPr>
            <w:tcW w:w="2863"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r>
      <w:tr>
        <w:tblPrEx>
          <w:tblCellMar>
            <w:top w:w="34" w:type="dxa"/>
            <w:left w:w="107" w:type="dxa"/>
            <w:bottom w:w="0" w:type="dxa"/>
            <w:right w:w="108" w:type="dxa"/>
          </w:tblCellMar>
        </w:tblPrEx>
        <w:trPr>
          <w:trHeight w:val="528" w:hRule="atLeast"/>
        </w:trPr>
        <w:tc>
          <w:tcPr>
            <w:tcW w:w="0" w:type="auto"/>
            <w:gridSpan w:val="3"/>
            <w:vMerge w:val="continue"/>
            <w:tcBorders>
              <w:top w:val="nil"/>
              <w:left w:val="single" w:color="000000" w:sz="4" w:space="0"/>
              <w:bottom w:val="nil"/>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其中:省级下达</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63"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529" w:hRule="atLeast"/>
        </w:trPr>
        <w:tc>
          <w:tcPr>
            <w:tcW w:w="0" w:type="auto"/>
            <w:gridSpan w:val="3"/>
            <w:vMerge w:val="continue"/>
            <w:tcBorders>
              <w:top w:val="nil"/>
              <w:left w:val="single" w:color="000000" w:sz="4" w:space="0"/>
              <w:bottom w:val="nil"/>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499"/>
            </w:pPr>
            <w:r>
              <w:rPr>
                <w:sz w:val="20"/>
              </w:rPr>
              <w:t>县 级 安排</w:t>
            </w:r>
          </w:p>
        </w:tc>
        <w:tc>
          <w:tcPr>
            <w:tcW w:w="9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15</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15</w:t>
            </w:r>
          </w:p>
        </w:tc>
        <w:tc>
          <w:tcPr>
            <w:tcW w:w="2863"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r>
      <w:tr>
        <w:tblPrEx>
          <w:tblCellMar>
            <w:top w:w="34" w:type="dxa"/>
            <w:left w:w="107" w:type="dxa"/>
            <w:bottom w:w="0" w:type="dxa"/>
            <w:right w:w="108" w:type="dxa"/>
          </w:tblCellMar>
        </w:tblPrEx>
        <w:trPr>
          <w:trHeight w:val="529" w:hRule="atLeast"/>
        </w:trPr>
        <w:tc>
          <w:tcPr>
            <w:tcW w:w="0" w:type="auto"/>
            <w:gridSpan w:val="3"/>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1514"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499"/>
            </w:pPr>
            <w:r>
              <w:rPr>
                <w:sz w:val="20"/>
              </w:rPr>
              <w:t>其 他 资金</w:t>
            </w:r>
          </w:p>
        </w:tc>
        <w:tc>
          <w:tcPr>
            <w:tcW w:w="91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1475"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c>
          <w:tcPr>
            <w:tcW w:w="2863" w:type="dxa"/>
            <w:gridSpan w:val="2"/>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年</w:t>
            </w:r>
          </w:p>
        </w:tc>
        <w:tc>
          <w:tcPr>
            <w:tcW w:w="4164" w:type="dxa"/>
            <w:gridSpan w:val="4"/>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年初设定目标</w:t>
            </w:r>
          </w:p>
        </w:tc>
        <w:tc>
          <w:tcPr>
            <w:tcW w:w="4338"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全年实际完成情况</w:t>
            </w:r>
          </w:p>
        </w:tc>
      </w:tr>
      <w:tr>
        <w:tblPrEx>
          <w:tblCellMar>
            <w:top w:w="34" w:type="dxa"/>
            <w:left w:w="107" w:type="dxa"/>
            <w:bottom w:w="0" w:type="dxa"/>
            <w:right w:w="108" w:type="dxa"/>
          </w:tblCellMar>
        </w:tblPrEx>
        <w:trPr>
          <w:trHeight w:val="2085" w:hRule="atLeast"/>
        </w:trPr>
        <w:tc>
          <w:tcPr>
            <w:tcW w:w="615" w:type="dxa"/>
            <w:tcBorders>
              <w:top w:val="nil"/>
              <w:left w:val="single" w:color="000000" w:sz="4" w:space="0"/>
              <w:bottom w:val="single" w:color="000000" w:sz="4" w:space="0"/>
              <w:right w:val="single" w:color="000000" w:sz="4" w:space="0"/>
            </w:tcBorders>
          </w:tcPr>
          <w:p>
            <w:pPr>
              <w:spacing w:after="0" w:line="259" w:lineRule="auto"/>
              <w:ind w:left="1" w:firstLine="0"/>
            </w:pPr>
            <w:r>
              <w:rPr>
                <w:sz w:val="20"/>
              </w:rPr>
              <w:t>度总体目标</w:t>
            </w:r>
          </w:p>
        </w:tc>
        <w:tc>
          <w:tcPr>
            <w:tcW w:w="4164" w:type="dxa"/>
            <w:gridSpan w:val="4"/>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1.126座带高杆路灯安装；2.灯架元器件的配线，均综合包含在定额内，使用时不作调整；3.灯杆高度控制在10M内，保证绝缘安全和灯具调控及试亮工作；开关、插座按国家标准配制。使项目村交通条件、环境条件得以改善，群众出行便利，解决了晚上出行难的问题。提高群众的生产生活水平，促进新农村建设.。</w:t>
            </w:r>
          </w:p>
        </w:tc>
        <w:tc>
          <w:tcPr>
            <w:tcW w:w="4338" w:type="dxa"/>
            <w:gridSpan w:val="3"/>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1.126座带高杆路灯安装；2.灯架元器件的配线，均综合包含在定额内，使用时不作调整； 3.灯杆高度控制在10M内，保证绝缘安全和灯具调控及试亮工作；开关、插座按国家标准配制。使项目村交通条件、环境条件得以改善，群众出行便利，解决了晚上出行难的问题。提高群众的生产生活水平，促进新农村建设.。</w:t>
            </w:r>
          </w:p>
        </w:tc>
      </w:tr>
      <w:tr>
        <w:tblPrEx>
          <w:tblCellMar>
            <w:top w:w="34" w:type="dxa"/>
            <w:left w:w="107" w:type="dxa"/>
            <w:bottom w:w="0" w:type="dxa"/>
            <w:right w:w="108" w:type="dxa"/>
          </w:tblCellMar>
        </w:tblPrEx>
        <w:trPr>
          <w:trHeight w:val="1048" w:hRule="atLeast"/>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绩效指标</w:t>
            </w:r>
          </w:p>
        </w:tc>
        <w:tc>
          <w:tcPr>
            <w:tcW w:w="6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一级指标</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二级指标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三级指标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261" w:firstLine="0"/>
            </w:pPr>
            <w:r>
              <w:rPr>
                <w:sz w:val="20"/>
              </w:rPr>
              <w:t>年度指标值</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全年完成值</w:t>
            </w:r>
          </w:p>
        </w:tc>
        <w:tc>
          <w:tcPr>
            <w:tcW w:w="218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部分完成或未完成原因和改进措施</w:t>
            </w:r>
          </w:p>
        </w:tc>
      </w:tr>
      <w:tr>
        <w:tblPrEx>
          <w:tblCellMar>
            <w:top w:w="34" w:type="dxa"/>
            <w:left w:w="107" w:type="dxa"/>
            <w:bottom w:w="0" w:type="dxa"/>
            <w:right w:w="108" w:type="dxa"/>
          </w:tblCellMar>
        </w:tblPrEx>
        <w:trPr>
          <w:trHeight w:val="528"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61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产出指标</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数量指标</w:t>
            </w:r>
          </w:p>
        </w:tc>
        <w:tc>
          <w:tcPr>
            <w:tcW w:w="242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支持农村公益事业建设项目</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1" w:firstLine="0"/>
            </w:pPr>
            <w:r>
              <w:rPr>
                <w:sz w:val="20"/>
              </w:rPr>
              <w:t>≥ 1 个</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质量指标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项目验收合格率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时效指标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项目竣工率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61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效益指标</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社会效益指标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pPr>
            <w:r>
              <w:rPr>
                <w:sz w:val="20"/>
              </w:rPr>
              <w:t>项目村村容村貌明显改善</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无投诉</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20"/>
              </w:rPr>
              <w:t>全部</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529"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429"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项目村农民参与民主议事率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100%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99%</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824"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112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生态效益指标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村庄人居环境明显改善</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无污染</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jc w:val="both"/>
            </w:pPr>
            <w:r>
              <w:rPr>
                <w:sz w:val="20"/>
              </w:rPr>
              <w:t>全部</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可持续影响指标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项目村农民支持率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项目村基层干部支持率</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412"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pPr>
          </w:p>
        </w:tc>
        <w:tc>
          <w:tcPr>
            <w:tcW w:w="611" w:type="dxa"/>
            <w:vMerge w:val="restart"/>
            <w:tcBorders>
              <w:top w:val="single" w:color="000000" w:sz="4" w:space="0"/>
              <w:left w:val="single" w:color="000000" w:sz="4" w:space="0"/>
              <w:bottom w:val="single" w:color="000000" w:sz="4" w:space="0"/>
              <w:right w:val="single" w:color="000000" w:sz="4" w:space="0"/>
            </w:tcBorders>
          </w:tcPr>
          <w:p>
            <w:pPr>
              <w:spacing w:after="0" w:line="259" w:lineRule="auto"/>
              <w:ind w:left="0" w:firstLine="0"/>
            </w:pPr>
            <w:r>
              <w:rPr>
                <w:sz w:val="20"/>
              </w:rPr>
              <w:t>满意度指标</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服务对象满意度指标</w:t>
            </w: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项目村农民满意度</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99%</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895"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pPr>
          </w:p>
        </w:tc>
        <w:tc>
          <w:tcPr>
            <w:tcW w:w="24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项目村基层干部满意度</w:t>
            </w:r>
          </w:p>
        </w:tc>
        <w:tc>
          <w:tcPr>
            <w:tcW w:w="14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≥90%</w:t>
            </w:r>
          </w:p>
        </w:tc>
        <w:tc>
          <w:tcPr>
            <w:tcW w:w="6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 w:firstLine="0"/>
            </w:pPr>
            <w:r>
              <w:rPr>
                <w:sz w:val="20"/>
              </w:rPr>
              <w:t>100%</w:t>
            </w:r>
          </w:p>
        </w:tc>
        <w:tc>
          <w:tcPr>
            <w:tcW w:w="2189" w:type="dxa"/>
            <w:tcBorders>
              <w:top w:val="single" w:color="000000" w:sz="4" w:space="0"/>
              <w:left w:val="single" w:color="000000" w:sz="4" w:space="0"/>
              <w:bottom w:val="single" w:color="000000" w:sz="4" w:space="0"/>
              <w:right w:val="single" w:color="000000" w:sz="4" w:space="0"/>
            </w:tcBorders>
          </w:tcPr>
          <w:p>
            <w:pPr>
              <w:spacing w:after="160" w:line="259" w:lineRule="auto"/>
              <w:ind w:left="0" w:firstLine="0"/>
            </w:pPr>
          </w:p>
        </w:tc>
      </w:tr>
      <w:tr>
        <w:tblPrEx>
          <w:tblCellMar>
            <w:top w:w="34" w:type="dxa"/>
            <w:left w:w="107" w:type="dxa"/>
            <w:bottom w:w="0" w:type="dxa"/>
            <w:right w:w="108" w:type="dxa"/>
          </w:tblCellMar>
        </w:tblPrEx>
        <w:trPr>
          <w:trHeight w:val="532" w:hRule="atLeast"/>
        </w:trPr>
        <w:tc>
          <w:tcPr>
            <w:tcW w:w="615" w:type="dxa"/>
            <w:tcBorders>
              <w:top w:val="single" w:color="000000" w:sz="4" w:space="0"/>
              <w:left w:val="single" w:color="000000" w:sz="4" w:space="0"/>
              <w:bottom w:val="single" w:color="000000" w:sz="4" w:space="0"/>
              <w:right w:val="single" w:color="000000" w:sz="4" w:space="0"/>
            </w:tcBorders>
          </w:tcPr>
          <w:p>
            <w:pPr>
              <w:spacing w:after="0" w:line="259" w:lineRule="auto"/>
              <w:ind w:left="1" w:firstLine="0"/>
            </w:pPr>
            <w:r>
              <w:rPr>
                <w:sz w:val="20"/>
              </w:rPr>
              <w:t>说明</w:t>
            </w:r>
          </w:p>
        </w:tc>
        <w:tc>
          <w:tcPr>
            <w:tcW w:w="8502" w:type="dxa"/>
            <w:gridSpan w:val="7"/>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pPr>
            <w:r>
              <w:rPr>
                <w:sz w:val="20"/>
              </w:rPr>
              <w:t>无</w:t>
            </w:r>
          </w:p>
        </w:tc>
      </w:tr>
    </w:tbl>
    <w:p>
      <w:pPr>
        <w:spacing w:after="4" w:line="250" w:lineRule="auto"/>
        <w:ind w:left="115" w:hanging="10"/>
      </w:pPr>
      <w:r>
        <w:rPr>
          <w:sz w:val="20"/>
        </w:rPr>
        <w:t>注：1.其他资金，主要包括统筹整合、村集体投入、社会资金等。</w:t>
      </w:r>
    </w:p>
    <w:p>
      <w:pPr>
        <w:spacing w:after="4" w:line="250" w:lineRule="auto"/>
        <w:ind w:left="504" w:hanging="10"/>
      </w:pPr>
      <w:r>
        <w:rPr>
          <w:sz w:val="20"/>
        </w:rPr>
        <w:t>2.定量指标，对照年度指标值直接填写完成数字。</w:t>
      </w:r>
    </w:p>
    <w:p>
      <w:pPr>
        <w:spacing w:after="4" w:line="250" w:lineRule="auto"/>
        <w:ind w:left="105" w:firstLine="401"/>
      </w:pPr>
      <w:r>
        <w:rPr>
          <w:sz w:val="20"/>
        </w:rPr>
        <w:t>3.定性指标，按照年度指标完成情况分别填写：全部或基本完成、部分完成、未完成三项。部分完成或</w:t>
      </w:r>
    </w:p>
    <w:p>
      <w:pPr>
        <w:spacing w:after="299" w:line="250" w:lineRule="auto"/>
        <w:ind w:left="704" w:hanging="10"/>
      </w:pPr>
      <w:r>
        <w:rPr>
          <w:sz w:val="20"/>
        </w:rPr>
        <w:t>未完成要说明原因和改进措施。</w:t>
      </w:r>
    </w:p>
    <w:p>
      <w:pPr>
        <w:spacing w:after="433" w:line="259" w:lineRule="auto"/>
        <w:ind w:left="641" w:firstLine="0"/>
      </w:pPr>
      <w:r>
        <w:t>(四)绩效自评结果应用情况</w:t>
      </w:r>
    </w:p>
    <w:p>
      <w:pPr>
        <w:spacing w:after="1124"/>
        <w:ind w:left="-15"/>
      </w:pPr>
      <w:r>
        <w:t>人居环境得到改善，项目建成后晚上全村亮化，道路通畅，改变了天黑难出门的窘境，通过项目的实施，墩子河村干部、群众对项目的支持率均达到 100%，村民民主参与议事热情高涨。社会效益明显，村容村貌得到明显改善，村民幸福指数得到了提高，全村没有发生一例因公益事业建设而投诉的事件。</w:t>
      </w:r>
    </w:p>
    <w:p>
      <w:pPr>
        <w:pStyle w:val="3"/>
        <w:ind w:left="214" w:right="322"/>
      </w:pPr>
      <w:r>
        <w:t>第四部分 2021年重点工作完成情况</w:t>
      </w:r>
    </w:p>
    <w:p>
      <w:pPr>
        <w:spacing w:after="152" w:line="259" w:lineRule="auto"/>
        <w:ind w:left="802" w:firstLine="0"/>
      </w:pPr>
      <w:r>
        <w:t>(一)重点经济指标全面完成</w:t>
      </w:r>
    </w:p>
    <w:p>
      <w:pPr>
        <w:ind w:left="-15"/>
      </w:pPr>
      <w:r>
        <w:t>全处干部坚持把绩效工作目标作为基本任务，把增强经济收入作为推动大潭跨越发展的要务，盘活现有资源，提升全处经济实力，9项重点经济指标预计圆满完成，其中8项指标超目标值，具体情况如下：</w:t>
      </w:r>
    </w:p>
    <w:p>
      <w:pPr>
        <w:numPr>
          <w:ilvl w:val="0"/>
          <w:numId w:val="6"/>
        </w:numPr>
      </w:pPr>
      <w:r>
        <w:t>全年财税收入目标任务2002万，完成2155万元，完成任务数的107.64%。</w:t>
      </w:r>
    </w:p>
    <w:p>
      <w:pPr>
        <w:numPr>
          <w:ilvl w:val="0"/>
          <w:numId w:val="6"/>
        </w:numPr>
      </w:pPr>
      <w:r>
        <w:t>全年固定资产投资目标任务2亿，完成2.2亿元，完成全年任务数的110%。</w:t>
      </w:r>
    </w:p>
    <w:p>
      <w:pPr>
        <w:numPr>
          <w:ilvl w:val="0"/>
          <w:numId w:val="6"/>
        </w:numPr>
      </w:pPr>
      <w:r>
        <w:t>全年工业投资目标任务2亿，1 2月底完成2.2亿元，完成全年任务数的110%。</w:t>
      </w:r>
    </w:p>
    <w:p>
      <w:pPr>
        <w:spacing w:after="184" w:line="259" w:lineRule="auto"/>
        <w:ind w:left="10" w:right="100" w:hanging="10"/>
        <w:jc w:val="right"/>
      </w:pPr>
      <w:r>
        <w:t>4.全年规上工业总产值目标任务8000万， 12月底完成</w:t>
      </w:r>
    </w:p>
    <w:p>
      <w:pPr>
        <w:spacing w:after="152" w:line="259" w:lineRule="auto"/>
        <w:ind w:left="-15" w:firstLine="0"/>
      </w:pPr>
      <w:r>
        <w:t>9000万元，完成全年任务数的112.5%。</w:t>
      </w:r>
    </w:p>
    <w:p>
      <w:pPr>
        <w:ind w:left="-15"/>
      </w:pPr>
      <w:r>
        <w:t>5、全年内资引进目标任务1.6亿， 12月底完成2.9亿元，完成全年任务数的181.25%。</w:t>
      </w:r>
    </w:p>
    <w:p>
      <w:pPr>
        <w:spacing w:after="152" w:line="259" w:lineRule="auto"/>
        <w:ind w:left="641" w:firstLine="0"/>
      </w:pPr>
      <w:r>
        <w:t>（二）真抓实干，全面完成日常工作任务</w:t>
      </w:r>
    </w:p>
    <w:p>
      <w:pPr>
        <w:spacing w:after="152" w:line="259" w:lineRule="auto"/>
        <w:ind w:left="10" w:right="100" w:hanging="10"/>
        <w:jc w:val="right"/>
      </w:pPr>
      <w:r>
        <w:t>一年来，全处干部发扬攻坚克难、的工作精神，盯紧目标任务，争先进位，圆满完成了各项重要工作项目。</w:t>
      </w:r>
    </w:p>
    <w:p>
      <w:pPr>
        <w:ind w:left="-15"/>
      </w:pPr>
      <w:r>
        <w:t>1.加强财源建设。在巩固现有财源的基础上，加大后续财源培植力度，激发区域经济发展活力，增强财政增收后劲。截止12月底，已完成财税收入3500万元（全年目标任务2002万元），完成目标任务161.34%，实现了财政税收与社会经济发展同步增长。</w:t>
      </w:r>
    </w:p>
    <w:p>
      <w:pPr>
        <w:ind w:left="-15"/>
      </w:pPr>
      <w:r>
        <w:t>2.落实区政府投资计划。大潭大滠线污水管网工程9月已开工，总投资750万，管网预埋已完成50%，各项建设按计划推进。</w:t>
      </w:r>
    </w:p>
    <w:p>
      <w:pPr>
        <w:ind w:left="-15"/>
      </w:pPr>
      <w:r>
        <w:t>3.城市综合管理工作。全处继续保持查控违高压态势，共拆除违法建设566平方米，其中历史违法建设546平方米，占区政府绩效指标109.2%，控制新增违法建设100%。村湾环境精细化管理进一步加强，结合各类活动开展，对公共场所、村湾环境进行彻底整治，共清理生活垃圾320余处、建筑垃圾240 处，总计80吨；共清理乱堆乱放280余处，修复破损路面1500 米，架空管线32处，户外违规广告8余处。全年荣获7次红旗单位，其中，4、5、8、10月份全区第一；2、12月份全区第二；9月份全区第五。全年开展垃圾分类宣传活动12次，利用电子显示屏宣传垃圾分类相关知识36次，共计60余条，发放垃圾分类宣传单2000余幅，继续在全处推行垃圾分类。</w:t>
      </w:r>
    </w:p>
    <w:p>
      <w:pPr>
        <w:ind w:left="-15"/>
      </w:pPr>
      <w:r>
        <w:t>4.市场主体培育工作。深挖市场主体增量的潜力，积极推动市场主体培育工作健康发展，今年全处新增市场主体83户。</w:t>
      </w:r>
    </w:p>
    <w:p>
      <w:pPr>
        <w:spacing w:after="0" w:line="347" w:lineRule="auto"/>
        <w:ind w:left="10" w:right="100" w:hanging="10"/>
        <w:jc w:val="right"/>
      </w:pPr>
      <w:r>
        <w:t>5.农林牧渔工作。做好辖区农林牧渔发展工作，完成农林牧渔业总产值增长10.2%目标，并配合区统计调查部门做好了统计“双基”和“村级取报”工作。</w:t>
      </w:r>
    </w:p>
    <w:p>
      <w:pPr>
        <w:ind w:left="-15"/>
      </w:pPr>
      <w:r>
        <w:t>6.粮食生产工作。严守耕地红线，狠抓粮食面积落实，完成2021年粮食生产目标0.58万亩，0.05亿斤。</w:t>
      </w:r>
    </w:p>
    <w:p>
      <w:pPr>
        <w:spacing w:after="5"/>
        <w:ind w:left="-15" w:right="100" w:firstLine="631"/>
        <w:jc w:val="both"/>
      </w:pPr>
      <w:r>
        <w:t>7.耕地保护工作。我处高度重视耕地保护工作，按要求完成粮食生产功能区和重要农产品保护区内耕地“非粮化”整改工作。</w:t>
      </w:r>
    </w:p>
    <w:p>
      <w:pPr>
        <w:ind w:left="-15"/>
      </w:pPr>
      <w:r>
        <w:t>8.地质灾害防治工作。组织力量对辖区内河堤、渠堤进行排查，建立巡管制度及台帐，全年未发生透水、管涌、决堤等灾害情况发生，较好地完成了地质灾害防治工作。</w:t>
      </w:r>
    </w:p>
    <w:p>
      <w:pPr>
        <w:spacing w:after="5"/>
        <w:ind w:left="-15" w:right="100" w:firstLine="631"/>
        <w:jc w:val="both"/>
      </w:pPr>
      <w:r>
        <w:t>9.禁捕退捕工作。设立长江禁渔公示牌3个，定点执法3 次，没收捕鱼船2艘，发放宣传单100份、横幅10条，巡察一周两次。</w:t>
      </w:r>
    </w:p>
    <w:p>
      <w:pPr>
        <w:ind w:left="-15"/>
      </w:pPr>
      <w:r>
        <w:t>10.优化营商环境。按照《黄陂区2021年优化营商环境重点指标任务清单》文件中单位分工事项任务的要求，积极优化大潭辖区营商环境，主动解决企业营商环境问题9个，并积极帮企业解决实际困难，打造了良好的营商环境。</w:t>
      </w:r>
    </w:p>
    <w:p>
      <w:pPr>
        <w:ind w:left="-15"/>
      </w:pPr>
      <w:r>
        <w:t>11.抓好常态化疫情防控工作。我处始终把人民群众生命安全和身体健康放在第一位，认真落实“外防输入、内防反弹” 防控策略，严格按照区防疫指挥部要求，一步细化组织架构和工作方案，完善运行机制，较好地完成了区、处防控指挥部下达的防控工作任务，确保了全处疫情防控和经济社会发展统筹推进。在疫苗接种工作中，大潭办事处承担2640人共5280针次的接种任务，截至今年12月，我处完成第一针剂6081人次，完成任务数2640人次的230.34%。完成第二针剂6300人次，完成任务数2640人次的238.64%。承担第三针接种任务 4312人次，目前已完成3500人次，完成任务数的81.17%，并按照时间节点持续推进“加强针”接种工作。</w:t>
      </w:r>
    </w:p>
    <w:p>
      <w:pPr>
        <w:spacing w:after="152" w:line="259" w:lineRule="auto"/>
        <w:ind w:left="10" w:right="326" w:hanging="10"/>
        <w:jc w:val="right"/>
      </w:pPr>
      <w:r>
        <w:t>（三）积极配合长江新城规划，完善基础设施配套建设。</w:t>
      </w:r>
    </w:p>
    <w:p>
      <w:pPr>
        <w:spacing w:after="231" w:line="259" w:lineRule="auto"/>
        <w:ind w:left="-15"/>
      </w:pPr>
      <w:r>
        <w:t>我们严格按照区委、区政府规划部署，抓当前、顾长远，充分对接长江新城规划，争取最大的支持和理解，切实保障我处位于长江新城管控区域的群众生产生活需要，认真谋划、科学编制我处长江新城基础配套设施建设项目清单，并统筹推进长江新城基础配套设施项目建设工作，满足辖区群众紧迫需求。</w:t>
      </w:r>
    </w:p>
    <w:tbl>
      <w:tblPr>
        <w:tblStyle w:val="8"/>
        <w:tblW w:w="8522" w:type="dxa"/>
        <w:tblInd w:w="-107" w:type="dxa"/>
        <w:tblLayout w:type="autofit"/>
        <w:tblCellMar>
          <w:top w:w="120" w:type="dxa"/>
          <w:left w:w="115" w:type="dxa"/>
          <w:bottom w:w="0" w:type="dxa"/>
          <w:right w:w="115" w:type="dxa"/>
        </w:tblCellMar>
      </w:tblPr>
      <w:tblGrid>
        <w:gridCol w:w="1311"/>
        <w:gridCol w:w="1818"/>
        <w:gridCol w:w="3216"/>
        <w:gridCol w:w="2177"/>
      </w:tblGrid>
      <w:tr>
        <w:tblPrEx>
          <w:tblCellMar>
            <w:top w:w="120" w:type="dxa"/>
            <w:left w:w="115" w:type="dxa"/>
            <w:bottom w:w="0" w:type="dxa"/>
            <w:right w:w="115" w:type="dxa"/>
          </w:tblCellMar>
        </w:tblPrEx>
        <w:trPr>
          <w:trHeight w:val="1036" w:hRule="atLeast"/>
        </w:trPr>
        <w:tc>
          <w:tcPr>
            <w:tcW w:w="1311"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18"/>
              </w:rPr>
              <w:t>序号</w:t>
            </w:r>
          </w:p>
        </w:tc>
        <w:tc>
          <w:tcPr>
            <w:tcW w:w="1818" w:type="dxa"/>
            <w:tcBorders>
              <w:top w:val="single" w:color="000000" w:sz="4" w:space="0"/>
              <w:left w:val="single" w:color="000000" w:sz="4" w:space="0"/>
              <w:bottom w:val="single" w:color="000000" w:sz="4" w:space="0"/>
              <w:right w:val="single" w:color="000000" w:sz="4" w:space="0"/>
            </w:tcBorders>
          </w:tcPr>
          <w:p>
            <w:pPr>
              <w:spacing w:after="0" w:line="259" w:lineRule="auto"/>
              <w:ind w:left="0" w:right="1" w:firstLine="0"/>
              <w:jc w:val="center"/>
            </w:pPr>
            <w:r>
              <w:rPr>
                <w:sz w:val="18"/>
              </w:rPr>
              <w:t>重要事项</w:t>
            </w:r>
          </w:p>
        </w:tc>
        <w:tc>
          <w:tcPr>
            <w:tcW w:w="3216" w:type="dxa"/>
            <w:tcBorders>
              <w:top w:val="single" w:color="000000" w:sz="4" w:space="0"/>
              <w:left w:val="single" w:color="000000" w:sz="4" w:space="0"/>
              <w:bottom w:val="single" w:color="000000" w:sz="4" w:space="0"/>
              <w:right w:val="single" w:color="000000" w:sz="4" w:space="0"/>
            </w:tcBorders>
          </w:tcPr>
          <w:p>
            <w:pPr>
              <w:spacing w:after="0" w:line="259" w:lineRule="auto"/>
              <w:ind w:left="0" w:right="2" w:firstLine="0"/>
              <w:jc w:val="center"/>
            </w:pPr>
            <w:r>
              <w:rPr>
                <w:sz w:val="18"/>
              </w:rPr>
              <w:t>工作内容及目标</w:t>
            </w:r>
          </w:p>
        </w:tc>
        <w:tc>
          <w:tcPr>
            <w:tcW w:w="2177"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18"/>
              </w:rPr>
              <w:t>完成情况</w:t>
            </w:r>
          </w:p>
        </w:tc>
      </w:tr>
      <w:tr>
        <w:tblPrEx>
          <w:tblCellMar>
            <w:top w:w="120" w:type="dxa"/>
            <w:left w:w="115" w:type="dxa"/>
            <w:bottom w:w="0" w:type="dxa"/>
            <w:right w:w="115" w:type="dxa"/>
          </w:tblCellMar>
        </w:tblPrEx>
        <w:trPr>
          <w:trHeight w:val="916" w:hRule="atLeast"/>
        </w:trPr>
        <w:tc>
          <w:tcPr>
            <w:tcW w:w="1311"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18"/>
              </w:rPr>
              <w:t>1</w:t>
            </w:r>
          </w:p>
        </w:tc>
        <w:tc>
          <w:tcPr>
            <w:tcW w:w="181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重点经济指标全面完成</w:t>
            </w:r>
          </w:p>
        </w:tc>
        <w:tc>
          <w:tcPr>
            <w:tcW w:w="321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完成财税收入2155万元，引进内资，完成工业投资人。</w:t>
            </w:r>
          </w:p>
        </w:tc>
        <w:tc>
          <w:tcPr>
            <w:tcW w:w="2177"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18"/>
              </w:rPr>
              <w:t>全面完成目标任务</w:t>
            </w:r>
          </w:p>
        </w:tc>
      </w:tr>
      <w:tr>
        <w:tblPrEx>
          <w:tblCellMar>
            <w:top w:w="120" w:type="dxa"/>
            <w:left w:w="115" w:type="dxa"/>
            <w:bottom w:w="0" w:type="dxa"/>
            <w:right w:w="115" w:type="dxa"/>
          </w:tblCellMar>
        </w:tblPrEx>
        <w:trPr>
          <w:trHeight w:val="942" w:hRule="atLeast"/>
        </w:trPr>
        <w:tc>
          <w:tcPr>
            <w:tcW w:w="1311"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18"/>
              </w:rPr>
              <w:t>2</w:t>
            </w:r>
          </w:p>
        </w:tc>
        <w:tc>
          <w:tcPr>
            <w:tcW w:w="181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真抓实干，全面完成日常工作任务</w:t>
            </w:r>
          </w:p>
        </w:tc>
        <w:tc>
          <w:tcPr>
            <w:tcW w:w="321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加强财源建设，培育市场主体，优化营商环境，抓好农林牧渔工作 。</w:t>
            </w:r>
          </w:p>
        </w:tc>
        <w:tc>
          <w:tcPr>
            <w:tcW w:w="217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完成区委区政府下达各项目标任务。</w:t>
            </w:r>
          </w:p>
        </w:tc>
      </w:tr>
      <w:tr>
        <w:tblPrEx>
          <w:tblCellMar>
            <w:top w:w="120" w:type="dxa"/>
            <w:left w:w="115" w:type="dxa"/>
            <w:bottom w:w="0" w:type="dxa"/>
            <w:right w:w="115" w:type="dxa"/>
          </w:tblCellMar>
        </w:tblPrEx>
        <w:trPr>
          <w:trHeight w:val="1237" w:hRule="atLeast"/>
        </w:trPr>
        <w:tc>
          <w:tcPr>
            <w:tcW w:w="1311"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18"/>
              </w:rPr>
              <w:t>3</w:t>
            </w:r>
          </w:p>
        </w:tc>
        <w:tc>
          <w:tcPr>
            <w:tcW w:w="1818" w:type="dxa"/>
            <w:tcBorders>
              <w:top w:val="single" w:color="000000" w:sz="4" w:space="0"/>
              <w:left w:val="single" w:color="000000" w:sz="4" w:space="0"/>
              <w:bottom w:val="single" w:color="000000" w:sz="4" w:space="0"/>
              <w:right w:val="single" w:color="000000" w:sz="4" w:space="0"/>
            </w:tcBorders>
          </w:tcPr>
          <w:p>
            <w:pPr>
              <w:spacing w:after="0" w:line="359" w:lineRule="auto"/>
              <w:ind w:left="0" w:firstLine="0"/>
              <w:jc w:val="center"/>
            </w:pPr>
            <w:r>
              <w:rPr>
                <w:sz w:val="18"/>
              </w:rPr>
              <w:t>积极配合长江新城规划，完善基础设</w:t>
            </w:r>
          </w:p>
          <w:p>
            <w:pPr>
              <w:spacing w:after="0" w:line="259" w:lineRule="auto"/>
              <w:ind w:left="0" w:right="1" w:firstLine="0"/>
              <w:jc w:val="center"/>
            </w:pPr>
            <w:r>
              <w:rPr>
                <w:sz w:val="18"/>
              </w:rPr>
              <w:t>施配套建设。</w:t>
            </w:r>
          </w:p>
        </w:tc>
        <w:tc>
          <w:tcPr>
            <w:tcW w:w="321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pPr>
            <w:r>
              <w:rPr>
                <w:sz w:val="18"/>
              </w:rPr>
              <w:t>科学编制长江新城基础配套设施建设项目，满足群众需求</w:t>
            </w:r>
          </w:p>
        </w:tc>
        <w:tc>
          <w:tcPr>
            <w:tcW w:w="2177" w:type="dxa"/>
            <w:tcBorders>
              <w:top w:val="single" w:color="000000" w:sz="4" w:space="0"/>
              <w:left w:val="single" w:color="000000" w:sz="4" w:space="0"/>
              <w:bottom w:val="single" w:color="000000" w:sz="4" w:space="0"/>
              <w:right w:val="single" w:color="000000" w:sz="4" w:space="0"/>
            </w:tcBorders>
          </w:tcPr>
          <w:p>
            <w:pPr>
              <w:spacing w:after="0" w:line="259" w:lineRule="auto"/>
              <w:ind w:left="0" w:right="3" w:firstLine="0"/>
              <w:jc w:val="center"/>
            </w:pPr>
            <w:r>
              <w:rPr>
                <w:sz w:val="18"/>
              </w:rPr>
              <w:t>完成目标编制工作</w:t>
            </w:r>
          </w:p>
        </w:tc>
      </w:tr>
    </w:tbl>
    <w:p>
      <w:pPr>
        <w:pStyle w:val="3"/>
        <w:ind w:left="214" w:right="319"/>
      </w:pPr>
      <w:r>
        <w:t>第五部分 名词解释</w:t>
      </w:r>
    </w:p>
    <w:p>
      <w:pPr>
        <w:ind w:left="-15"/>
      </w:pPr>
      <w:r>
        <w:t>(一)一般公共预算财政拨款收入：指市级财政一般公共预算当年拨付的资金。</w:t>
      </w:r>
    </w:p>
    <w:p>
      <w:pPr>
        <w:ind w:left="-15"/>
      </w:pPr>
      <w:r>
        <w:t>(二)政府性基金预算财政拨款收入：指市级财政政府性基金预算当年拨付的资金。</w:t>
      </w:r>
    </w:p>
    <w:p>
      <w:pPr>
        <w:ind w:left="-15"/>
      </w:pPr>
      <w:r>
        <w:t>(三)国有资本经营预算财政拨款收入：指市级财政国有资本经营预算当年拨付的资金。</w:t>
      </w:r>
    </w:p>
    <w:p>
      <w:pPr>
        <w:ind w:left="-15"/>
      </w:pPr>
      <w:r>
        <w:t>(四)上级补助收入：指从事业单位主管部门和上级单位取得的非财政补助收入。</w:t>
      </w:r>
    </w:p>
    <w:p>
      <w:pPr>
        <w:ind w:left="-15"/>
      </w:pPr>
      <w:r>
        <w:t>(五)事业收入：指事业单位开展专业业务活动及其辅助活动取得的收入。</w:t>
      </w:r>
    </w:p>
    <w:p>
      <w:pPr>
        <w:ind w:left="-15"/>
      </w:pPr>
      <w:r>
        <w:t>(六)经营收入：指事业单位在专业业务活动及其辅助活动之外开展非独立核算经营活动取得的收入。</w:t>
      </w:r>
    </w:p>
    <w:p>
      <w:pPr>
        <w:ind w:left="-15"/>
      </w:pPr>
      <w:r>
        <w:t>(七)其他收入：指单位取得的除上述“一般公共预算财政拨款收入”、“政府性基金预算财政拨款收入”、“国有资本经营预算财政拨款收入”、“上级补助收入”、“事业收入”、“经营收入”等收入以外的各项收入。</w:t>
      </w:r>
    </w:p>
    <w:p>
      <w:pPr>
        <w:ind w:left="-15"/>
      </w:pPr>
      <w:r>
        <w:t>(八)使用非财政拨款结余：指事业单位使用以前年度积累的非财政拨款结余弥补当年收支差额的金额。</w:t>
      </w:r>
    </w:p>
    <w:p>
      <w:pPr>
        <w:ind w:left="-15"/>
      </w:pPr>
      <w:r>
        <w:t>(九)年初结转和结余：指单位以前年度尚未完成、结转到本年仍按原规定用途继续使用的资金，或项目已完成等产 生的结余资金。</w:t>
      </w:r>
    </w:p>
    <w:p>
      <w:pPr>
        <w:spacing w:after="152" w:line="259" w:lineRule="auto"/>
        <w:ind w:left="641" w:firstLine="0"/>
      </w:pPr>
      <w:r>
        <w:t>(十)本部门使用的支出功能分类科目(到项级)</w:t>
      </w:r>
    </w:p>
    <w:p>
      <w:pPr>
        <w:ind w:left="-15"/>
      </w:pPr>
      <w:r>
        <w:t>1.一般公共服务(类)政府办公厅相关机构事务(款)行政运行(项)</w:t>
      </w:r>
    </w:p>
    <w:p>
      <w:pPr>
        <w:numPr>
          <w:ilvl w:val="0"/>
          <w:numId w:val="7"/>
        </w:numPr>
        <w:spacing w:after="184" w:line="259" w:lineRule="auto"/>
      </w:pPr>
      <w:r>
        <w:t>一般公共服务(类) 财政事务(款)事业运行(项)</w:t>
      </w:r>
    </w:p>
    <w:p>
      <w:pPr>
        <w:numPr>
          <w:ilvl w:val="0"/>
          <w:numId w:val="7"/>
        </w:numPr>
      </w:pPr>
      <w:r>
        <w:t>社会保障和就业支出(类) 行政事业单位离退休 (款) 归口管理的行政单位离退休(项)</w:t>
      </w:r>
    </w:p>
    <w:p>
      <w:pPr>
        <w:numPr>
          <w:ilvl w:val="0"/>
          <w:numId w:val="7"/>
        </w:numPr>
      </w:pPr>
      <w:r>
        <w:t>社会保障和就业支出(类) 行政事业单位离退休 (款) 事业单位离退休(项)</w:t>
      </w:r>
    </w:p>
    <w:p>
      <w:pPr>
        <w:numPr>
          <w:ilvl w:val="0"/>
          <w:numId w:val="7"/>
        </w:numPr>
      </w:pPr>
      <w:r>
        <w:t>医疗卫生与计划生育支出(类) 医疗保障 (款) 行政单位医疗 (项)</w:t>
      </w:r>
    </w:p>
    <w:p>
      <w:pPr>
        <w:numPr>
          <w:ilvl w:val="0"/>
          <w:numId w:val="7"/>
        </w:numPr>
      </w:pPr>
      <w:r>
        <w:t>医疗卫生与计划生育支出(类) 医疗保障 (款) 事业单位医疗 (项)</w:t>
      </w:r>
    </w:p>
    <w:p>
      <w:pPr>
        <w:numPr>
          <w:ilvl w:val="0"/>
          <w:numId w:val="7"/>
        </w:numPr>
        <w:spacing w:after="184" w:line="259" w:lineRule="auto"/>
      </w:pPr>
      <w:r>
        <w:t>农林水支出(类) 农林(款) 事业运行 (项)</w:t>
      </w:r>
    </w:p>
    <w:p>
      <w:pPr>
        <w:numPr>
          <w:ilvl w:val="0"/>
          <w:numId w:val="7"/>
        </w:numPr>
        <w:spacing w:after="184" w:line="259" w:lineRule="auto"/>
      </w:pPr>
      <w:r>
        <w:t>住房保障支出(类) 住房改革支出 (款) 住房公积金(项)</w:t>
      </w:r>
    </w:p>
    <w:p>
      <w:pPr>
        <w:numPr>
          <w:ilvl w:val="0"/>
          <w:numId w:val="7"/>
        </w:numPr>
        <w:spacing w:after="184" w:line="259" w:lineRule="auto"/>
      </w:pPr>
      <w:r>
        <w:t>住房保障支出(类) 住房改革支出 (款) 提租补贴(项)</w:t>
      </w:r>
    </w:p>
    <w:p>
      <w:pPr>
        <w:ind w:left="-15"/>
      </w:pPr>
      <w:r>
        <w:t>(十一)结余分配：指事业单位按照会计制度规定缴纳的企业所得税、提取的专用结余以及转入非财政拨款结余的金额等。</w:t>
      </w:r>
    </w:p>
    <w:p>
      <w:pPr>
        <w:ind w:left="-15"/>
      </w:pPr>
      <w:r>
        <w:t>(十二)年末结转和结余：指单位按有关规定结转到下年或以后年度继续使用的资金，或项目已完成等产生的结余资金。</w:t>
      </w:r>
    </w:p>
    <w:p>
      <w:pPr>
        <w:spacing w:after="152" w:line="259" w:lineRule="auto"/>
        <w:ind w:left="641" w:firstLine="0"/>
      </w:pPr>
      <w:r>
        <w:t>(十三)基本支出：指为保障机构正常运转、完成日常工作</w:t>
      </w:r>
    </w:p>
    <w:p>
      <w:pPr>
        <w:ind w:left="-15" w:firstLine="0"/>
      </w:pPr>
      <w:r>
        <w:t>任务而发生的人员支出和公用支出。 (十四)项目支出：指在基本支出之外为完成特定行政任务或事业发展目标所发生的支出。</w:t>
      </w:r>
    </w:p>
    <w:p>
      <w:pPr>
        <w:ind w:left="-15"/>
      </w:pPr>
      <w:r>
        <w:t>(十五)经营支出：指事业单位在专业活动及辅助活动之外开展非独立核算经营活动发生的支出。</w:t>
      </w:r>
    </w:p>
    <w:p>
      <w:pPr>
        <w:ind w:left="-15"/>
      </w:pPr>
      <w:r>
        <w:t>(十六)“三公”经费：纳入财政一般公共预算管理的“三公”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 单位公务用车购置支出(含车辆购置税、牌照费)及燃料费、维修费、过桥过路费、保险费、安全奖励费用等支出；公务接待费反映单位按规定开支的各类 公务接待(含外宾接待)费用。</w:t>
      </w:r>
    </w:p>
    <w:p>
      <w:pPr>
        <w:ind w:left="-15"/>
      </w:pPr>
      <w:r>
        <w:t>(十七)机关运行经费：指为保障行政单位（包括参照公务员法管理的事业单位）运行用于购买货物 和服务的各项资金，包括办公费、印刷费、邮电费、差旅费、会议费、福利费、日常维修费、专用材料及一般设备购置费、办公用房水电费、办公用房取暖费、办公用房物业管理费、公务用 车运行维护费以及其他费用。</w:t>
      </w:r>
    </w:p>
    <w:p>
      <w:pPr>
        <w:spacing w:after="152" w:line="259" w:lineRule="auto"/>
        <w:ind w:left="641" w:firstLine="0"/>
      </w:pPr>
      <w:r>
        <w:t>(十八)其他专用名词。</w:t>
      </w:r>
    </w:p>
    <w:p>
      <w:pPr>
        <w:spacing w:line="259" w:lineRule="auto"/>
        <w:ind w:left="641" w:firstLine="0"/>
      </w:pPr>
      <w:r>
        <w:t>（根据本部门使用的其他专用名词补充解释）</w:t>
      </w:r>
    </w:p>
    <w:p>
      <w:pPr>
        <w:pStyle w:val="3"/>
        <w:spacing w:after="176"/>
        <w:ind w:left="214" w:right="924"/>
      </w:pPr>
      <w:r>
        <w:t>第六部分 附件</w:t>
      </w:r>
    </w:p>
    <w:p>
      <w:pPr>
        <w:ind w:left="-15"/>
      </w:pPr>
      <w:r>
        <w:t xml:space="preserve">2021年度武汉市黄陂区人民政府大潭办事处（汇总） </w:t>
      </w:r>
      <w:r>
        <w:rPr>
          <w:rFonts w:ascii="Calibri" w:hAnsi="Calibri" w:eastAsia="Calibri" w:cs="Calibri"/>
          <w:sz w:val="22"/>
        </w:rPr>
        <mc:AlternateContent>
          <mc:Choice Requires="wpg">
            <w:drawing>
              <wp:inline distT="0" distB="0" distL="0" distR="0">
                <wp:extent cx="109220" cy="8890"/>
                <wp:effectExtent l="0" t="0" r="0" b="0"/>
                <wp:docPr id="52778" name="Group 52778"/>
                <wp:cNvGraphicFramePr/>
                <a:graphic xmlns:a="http://schemas.openxmlformats.org/drawingml/2006/main">
                  <a:graphicData uri="http://schemas.microsoft.com/office/word/2010/wordprocessingGroup">
                    <wpg:wgp>
                      <wpg:cNvGrpSpPr/>
                      <wpg:grpSpPr>
                        <a:xfrm>
                          <a:off x="0" y="0"/>
                          <a:ext cx="109220" cy="9144"/>
                          <a:chOff x="0" y="0"/>
                          <a:chExt cx="109220" cy="9144"/>
                        </a:xfrm>
                      </wpg:grpSpPr>
                      <wps:wsp>
                        <wps:cNvPr id="4054" name="Shape 4054"/>
                        <wps:cNvSpPr/>
                        <wps:spPr>
                          <a:xfrm>
                            <a:off x="0" y="0"/>
                            <a:ext cx="109220" cy="0"/>
                          </a:xfrm>
                          <a:custGeom>
                            <a:avLst/>
                            <a:gdLst/>
                            <a:ahLst/>
                            <a:cxnLst/>
                            <a:rect l="0" t="0" r="0" b="0"/>
                            <a:pathLst>
                              <a:path w="109220">
                                <a:moveTo>
                                  <a:pt x="0" y="0"/>
                                </a:moveTo>
                                <a:lnTo>
                                  <a:pt x="10922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52778" o:spid="_x0000_s1026" o:spt="203" style="height:0.7pt;width:8.6pt;" coordsize="109220,9144" o:gfxdata="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DcfGdMAAAACAQAADwAAAAAAAAABACAAAAA4AAAA&#10;ZHJzL2Rvd25yZXYueG1sUEsBAhQAFAAAAAgAh07iQFph8sIvAgAAOQUAAA4AAAAAAAAAAQAgAAAA&#10;OAEAAGRycy9lMm9Eb2MueG1sUEsFBgAAAAAGAAYAWQEAANkFAAAAAA==&#10;">
                <o:lock v:ext="edit" aspectratio="f"/>
                <v:shape id="Shape 4054" o:spid="_x0000_s1026" o:spt="100" style="position:absolute;left:0;top:0;height:0;width:109220;" filled="f" stroked="t" coordsize="109220,1" o:gfxdata="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n6RRvAAAAN0AAAAPAAAAAAAAAAEAIAAAADgAAABkcnMvZG93bnJldi54&#10;bWxQSwECFAAUAAAACACHTuJAMy8FnjsAAAA5AAAAEAAAAAAAAAABACAAAAAhAQAAZHJzL3NoYXBl&#10;eG1sLnhtbFBLBQYAAAAABgAGAFsBAADLAwAAAAA=&#10;" path="m0,0l109220,0e">
                  <v:fill on="f" focussize="0,0"/>
                  <v:stroke weight="0.72pt" color="#000000" miterlimit="8" joinstyle="bevel"/>
                  <v:imagedata o:title=""/>
                  <o:lock v:ext="edit" aspectratio="f"/>
                </v:shape>
                <w10:wrap type="none"/>
                <w10:anchorlock/>
              </v:group>
            </w:pict>
          </mc:Fallback>
        </mc:AlternateContent>
      </w:r>
      <w:r>
        <w:t>整体绩效评价报告</w:t>
      </w:r>
    </w:p>
    <w:p>
      <w:pPr>
        <w:ind w:left="-15"/>
      </w:pPr>
      <w:r>
        <w:t>根据《武汉市市直预算绩效评价管理暂行办法》（武财绩〔2021〕546号）文件精神，我单位成立了绩效评价工作小组，对我单位2021年度部门预算整体支出绩效进行了全面综合评价。整体支出分基本支出和项目支出两部分，基本支出的评价重点是厉行节约保运转，降低行政运行成本；项目支出的评价重点是规范管理促发展，做到专款专用，提高资金使用效益。经全面综合评价，我单位2021年度部门整体支出绩效自评分为</w:t>
      </w:r>
    </w:p>
    <w:p>
      <w:pPr>
        <w:spacing w:after="152" w:line="259" w:lineRule="auto"/>
        <w:ind w:left="-15" w:firstLine="0"/>
      </w:pPr>
      <w:r>
        <w:t>95分。现将自评情况汇报如下：</w:t>
      </w:r>
    </w:p>
    <w:p>
      <w:pPr>
        <w:spacing w:after="152" w:line="259" w:lineRule="auto"/>
        <w:ind w:left="641" w:firstLine="0"/>
      </w:pPr>
      <w:r>
        <w:t>一、部门概况</w:t>
      </w:r>
    </w:p>
    <w:p>
      <w:pPr>
        <w:spacing w:after="152" w:line="259" w:lineRule="auto"/>
        <w:ind w:left="641" w:firstLine="0"/>
      </w:pPr>
      <w:r>
        <w:t>(一）机构人员情况</w:t>
      </w:r>
    </w:p>
    <w:p>
      <w:pPr>
        <w:ind w:left="-15"/>
      </w:pPr>
      <w:r>
        <w:t>本单位属全额行政单位,核定人员编制44人，实有在职在编行政人数24人，事业15人，退休人员1人，核定车辆编制2 台，实有公务用车2台。</w:t>
      </w:r>
    </w:p>
    <w:p>
      <w:pPr>
        <w:spacing w:after="152" w:line="259" w:lineRule="auto"/>
        <w:ind w:left="641" w:firstLine="0"/>
      </w:pPr>
      <w:r>
        <w:t>（二）部门主要职能</w:t>
      </w:r>
    </w:p>
    <w:p>
      <w:pPr>
        <w:ind w:left="-15"/>
      </w:pPr>
      <w:r>
        <w:t>1.办事处党工委按照</w:t>
      </w:r>
      <w:r>
        <w:rPr>
          <w:rFonts w:hint="eastAsia"/>
          <w:lang w:eastAsia="zh-CN"/>
        </w:rPr>
        <w:t>《</w:t>
      </w:r>
      <w:r>
        <w:t>中国共产党章程</w:t>
      </w:r>
      <w:r>
        <w:rPr>
          <w:rFonts w:hint="eastAsia"/>
          <w:lang w:eastAsia="zh-CN"/>
        </w:rPr>
        <w:t>》</w:t>
      </w:r>
      <w:r>
        <w:t>、</w:t>
      </w:r>
      <w:r>
        <w:rPr>
          <w:rFonts w:hint="eastAsia"/>
          <w:lang w:eastAsia="zh-CN"/>
        </w:rPr>
        <w:t>《</w:t>
      </w:r>
      <w:bookmarkStart w:id="0" w:name="_GoBack"/>
      <w:bookmarkEnd w:id="0"/>
      <w:r>
        <w:rPr>
          <w:rFonts w:hint="eastAsia"/>
          <w:lang w:eastAsia="zh-CN"/>
        </w:rPr>
        <w:t>中华人民共和国宪法》</w:t>
      </w:r>
      <w:r>
        <w:t>的有关规定履行职责。</w:t>
      </w:r>
    </w:p>
    <w:p>
      <w:pPr>
        <w:spacing w:after="139"/>
        <w:ind w:left="-15" w:right="100" w:firstLine="631"/>
        <w:jc w:val="both"/>
      </w:pPr>
      <w:r>
        <w:t>2.办事处主要承担社会行政管理职能，落实国家政策，严格依法行政，搞好市场监管，发展乡村经济、文化和社会事业，提供公共服务，维护社会稳定。</w:t>
      </w:r>
    </w:p>
    <w:p>
      <w:pPr>
        <w:ind w:left="-15"/>
      </w:pPr>
      <w:r>
        <w:t>3.纪工委按照</w:t>
      </w:r>
      <w:r>
        <w:rPr>
          <w:rFonts w:hint="eastAsia"/>
          <w:lang w:eastAsia="zh-CN"/>
        </w:rPr>
        <w:t>《</w:t>
      </w:r>
      <w:r>
        <w:t>中国共产党章程</w:t>
      </w:r>
      <w:r>
        <w:rPr>
          <w:rFonts w:hint="eastAsia"/>
          <w:lang w:eastAsia="zh-CN"/>
        </w:rPr>
        <w:t>》</w:t>
      </w:r>
      <w:r>
        <w:t>和</w:t>
      </w:r>
      <w:r>
        <w:rPr>
          <w:rFonts w:hint="eastAsia"/>
          <w:lang w:eastAsia="zh-CN"/>
        </w:rPr>
        <w:t>《</w:t>
      </w:r>
      <w:r>
        <w:t>中华人民共和国行政监察法</w:t>
      </w:r>
      <w:r>
        <w:rPr>
          <w:rFonts w:hint="eastAsia"/>
          <w:lang w:eastAsia="zh-CN"/>
        </w:rPr>
        <w:t>》</w:t>
      </w:r>
      <w:r>
        <w:t>履行职责。</w:t>
      </w:r>
    </w:p>
    <w:p>
      <w:pPr>
        <w:ind w:left="-15"/>
      </w:pPr>
      <w:r>
        <w:t>4.人民武装部依法履行国防动员、民兵训练、预备役管理等职责。</w:t>
      </w:r>
    </w:p>
    <w:p>
      <w:pPr>
        <w:ind w:left="-15"/>
      </w:pPr>
      <w:r>
        <w:t>5.负责在辖区开展普法教育工作，做好民事调解，开展法律咨询、服务等工作，维护居民的合法权益，搞好辖区内社会管理综合治理工作。</w:t>
      </w:r>
    </w:p>
    <w:p>
      <w:pPr>
        <w:ind w:left="-15"/>
      </w:pPr>
      <w:r>
        <w:t>6.负责本辖区的城市管理工作，发动群众开展爱国卫生运动，绿化、美化、净化城市环境，协助有关部门做好环境卫生、环境保护工作。</w:t>
      </w:r>
    </w:p>
    <w:p>
      <w:pPr>
        <w:spacing w:after="152" w:line="259" w:lineRule="auto"/>
        <w:ind w:left="641" w:firstLine="0"/>
      </w:pPr>
      <w:r>
        <w:t>7.承办区委、区政府交办的其他工作。</w:t>
      </w:r>
    </w:p>
    <w:p>
      <w:pPr>
        <w:spacing w:after="152" w:line="259" w:lineRule="auto"/>
        <w:ind w:left="641" w:firstLine="0"/>
      </w:pPr>
      <w:r>
        <w:t>二、工作目标任务</w:t>
      </w:r>
    </w:p>
    <w:p>
      <w:pPr>
        <w:spacing w:after="152" w:line="259" w:lineRule="auto"/>
        <w:ind w:left="641" w:firstLine="0"/>
      </w:pPr>
      <w:r>
        <w:t>(一)重点经济指标全面完成</w:t>
      </w:r>
    </w:p>
    <w:p>
      <w:pPr>
        <w:ind w:left="-15"/>
      </w:pPr>
      <w:r>
        <w:t>全处干部坚持把绩效工作目标作为基本任务，把增强经济收入作为推动大潭跨越发展的要务，盘活现有资源，提升全处经济实力，9项重点经济指标预计圆满完成，其中8项指标超目标值，具体情况如下：</w:t>
      </w:r>
    </w:p>
    <w:p>
      <w:pPr>
        <w:numPr>
          <w:ilvl w:val="0"/>
          <w:numId w:val="8"/>
        </w:numPr>
      </w:pPr>
      <w:r>
        <w:t>全年财税收入目标任务2002万，完成2155万元，完成任务数的107.64%。</w:t>
      </w:r>
    </w:p>
    <w:p>
      <w:pPr>
        <w:numPr>
          <w:ilvl w:val="0"/>
          <w:numId w:val="8"/>
        </w:numPr>
      </w:pPr>
      <w:r>
        <w:t>全年固定资产投资目标任务2亿，完成2.2亿元，完成全年任务数的110%。</w:t>
      </w:r>
    </w:p>
    <w:p>
      <w:pPr>
        <w:numPr>
          <w:ilvl w:val="0"/>
          <w:numId w:val="8"/>
        </w:numPr>
        <w:spacing w:after="152" w:line="259" w:lineRule="auto"/>
      </w:pPr>
      <w:r>
        <w:t>全年工业投资目标任务2亿，1 2月底完成2.2亿元，完成全年任务数的110%。</w:t>
      </w:r>
    </w:p>
    <w:p>
      <w:pPr>
        <w:spacing w:after="184" w:line="259" w:lineRule="auto"/>
        <w:ind w:left="10" w:right="100" w:hanging="10"/>
        <w:jc w:val="right"/>
      </w:pPr>
      <w:r>
        <w:t>4.全年规上工业总产值目标任务8000万， 12月底完成</w:t>
      </w:r>
    </w:p>
    <w:p>
      <w:pPr>
        <w:spacing w:after="152" w:line="259" w:lineRule="auto"/>
        <w:ind w:left="-15" w:firstLine="0"/>
      </w:pPr>
      <w:r>
        <w:t>9000万元，完成全年任务数的112.5%。</w:t>
      </w:r>
    </w:p>
    <w:p>
      <w:pPr>
        <w:ind w:left="-15"/>
      </w:pPr>
      <w:r>
        <w:t>5、全年内资引进目标任务1.6亿， 12月底完成2.9亿元，完成全年任务数的181.25%。</w:t>
      </w:r>
    </w:p>
    <w:p>
      <w:pPr>
        <w:spacing w:after="152" w:line="259" w:lineRule="auto"/>
        <w:ind w:left="641" w:firstLine="0"/>
      </w:pPr>
      <w:r>
        <w:t>（二）真抓实干，全面完成日常工作任务</w:t>
      </w:r>
    </w:p>
    <w:p>
      <w:pPr>
        <w:ind w:left="-15"/>
      </w:pPr>
      <w:r>
        <w:t>一年来，全处干部发扬攻坚克难、的工作精神，盯紧目标任务，争先进位，圆满完成了各项重要工作项目。</w:t>
      </w:r>
    </w:p>
    <w:p>
      <w:pPr>
        <w:ind w:left="-15"/>
      </w:pPr>
      <w:r>
        <w:t>1.加强财源建设。在巩固现有财源的基础上，加大后续财源培植力度，激发区域经济发展活力，增强财政增收后劲。截止12月底，已完成财税收入3500万元（全年目标任务2002万元），完成目标任务161.34%，实现了财政税收与社会经济发展同步增长。</w:t>
      </w:r>
    </w:p>
    <w:p>
      <w:pPr>
        <w:ind w:left="-15"/>
      </w:pPr>
      <w:r>
        <w:t>2.落实区政府投资计划。大潭大滠线污水管网工程9月已开工，总投资750万，管网预埋已完成50%，各项建设按计划推进。</w:t>
      </w:r>
    </w:p>
    <w:p>
      <w:pPr>
        <w:ind w:left="-15"/>
      </w:pPr>
      <w:r>
        <w:t>3.城市综合管理工作。全处继续保持查控违高压态势，共拆除违法建设566平方米，其中历史违法建设546平方米，占区政府绩效指标109.2%，控制新增违法建设100%。村湾环境精细化管理进一步加强，结合各类活动开展，对公共场所、村湾环境进行彻底整治，共清理生活垃圾320余处、建筑垃圾240 处，总计80吨；共清理乱堆乱放280余处，修复破损路面1500 米，架空管线32处，户外违规广告8余处。全年荣获7次红旗单位，其中，4、5、8、10月份全区第一；2、12月份全区第二；9月份全区第五。全年开展垃圾分类宣传活动12次，利用电子显示屏宣传垃圾分类相关知识36次，共计60余条，发放垃圾分类宣传单2000余幅，继续在全处推行垃圾分类。</w:t>
      </w:r>
    </w:p>
    <w:p>
      <w:pPr>
        <w:ind w:left="-15"/>
      </w:pPr>
      <w:r>
        <w:t>4.市场主体培育工作。深挖市场主体增量的潜力，积极推动市场主体培育工作健康发展，今年全处新增市场主体83户。</w:t>
      </w:r>
    </w:p>
    <w:p>
      <w:pPr>
        <w:ind w:left="-15"/>
      </w:pPr>
      <w:r>
        <w:t>5.农林牧渔工作。做好辖区农林牧渔发展工作，完成农林牧渔业总产值增长10.2%目标，并配合区统计调查部门做好了统计“双基”和“村级取报”工作。</w:t>
      </w:r>
    </w:p>
    <w:p>
      <w:pPr>
        <w:ind w:left="-15"/>
      </w:pPr>
      <w:r>
        <w:t>6.粮食生产工作。严守耕地红线，狠抓粮食面积落实，完成2021年粮食生产目标0.58万亩，0.05亿斤。</w:t>
      </w:r>
    </w:p>
    <w:p>
      <w:pPr>
        <w:spacing w:after="5"/>
        <w:ind w:left="-15" w:right="100" w:firstLine="631"/>
        <w:jc w:val="both"/>
      </w:pPr>
      <w:r>
        <w:t>7.耕地保护工作。我处高度重视耕地保护工作，按要求完成粮食生产功能区和重要农产品保护区内耕地“非粮化”整改工作。</w:t>
      </w:r>
    </w:p>
    <w:p>
      <w:pPr>
        <w:ind w:left="-15"/>
      </w:pPr>
      <w:r>
        <w:t>8.地质灾害防治工作。组织力量对辖区内河堤、渠堤进行排查，建立巡管制度及台帐，全年未发生透水、管涌、决堤等灾害情况发生，较好地完成了地质灾害防治工作。</w:t>
      </w:r>
    </w:p>
    <w:p>
      <w:pPr>
        <w:spacing w:after="5"/>
        <w:ind w:left="-15" w:right="100" w:firstLine="631"/>
        <w:jc w:val="both"/>
      </w:pPr>
      <w:r>
        <w:t>9.禁捕退捕工作。设立长江禁渔公示牌3个，定点执法3 次，没收捕鱼船2艘，发放宣传单100份、横幅10条，巡察一周两次。</w:t>
      </w:r>
    </w:p>
    <w:p>
      <w:pPr>
        <w:spacing w:after="139"/>
        <w:ind w:left="-15"/>
      </w:pPr>
      <w:r>
        <w:t>10.优化营商环境。按照《黄陂区2021年优化营商环境重点指标任务清单》文件中单位分工事项任务的要求，积极优化大潭辖区营商环境，主动解决企业营商环境问题9个，并积极帮企业解决实际困难，打造了良好的营商环境。</w:t>
      </w:r>
    </w:p>
    <w:p>
      <w:pPr>
        <w:ind w:left="-15"/>
      </w:pPr>
      <w:r>
        <w:t>11.抓好常态化疫情防控工作。我处始终把人民群众生命安全和身体健康放在第一位，认真落实“外防输入、内防反弹” 防控策略，严格按照区防疫指挥部要求，一步细化组织架构和工作方案，完善运行机制，较好地完成了区、处防控指挥部下达的防控工作任务，确保了全处疫情防控和经济社会发展统筹推进。在疫苗接种工作中，大潭办事处承担2640人共5280针次的接种任务，截至今年12月，我处完成第一针剂6081人次，完成任务数2640人次的230.34%。完成第二针剂6300人次，完成任务数2640人次的238.64%。承担第三针接种任务 4312人次，目前已完成3500人次，完成任务数的81.17%，并按照时间节点持续推进“加强针”接种工作。</w:t>
      </w:r>
    </w:p>
    <w:p>
      <w:pPr>
        <w:ind w:left="242" w:firstLine="319"/>
      </w:pPr>
      <w:r>
        <w:t>（三）积极配合长江新城规划，完善基础设施配套建设。严格按照区委、区政府规划部署，抓当前、顾长远，充分对接长江新城规划，争取最大的支持和理解，切实保障我处位于长江新城管控区域的群众生产生活需要，认真谋划、科学编制我处长江新城基础配套设施建设项目清单，并统筹推进长江新城基础配套设施项目建设工作，满足辖区群众紧迫需求。</w:t>
      </w:r>
    </w:p>
    <w:p>
      <w:pPr>
        <w:numPr>
          <w:ilvl w:val="0"/>
          <w:numId w:val="9"/>
        </w:numPr>
        <w:spacing w:after="152" w:line="259" w:lineRule="auto"/>
        <w:ind w:left="1365" w:hanging="641"/>
      </w:pPr>
      <w:r>
        <w:t>绩效评价结果</w:t>
      </w:r>
    </w:p>
    <w:p>
      <w:pPr>
        <w:spacing w:after="0" w:line="347" w:lineRule="auto"/>
        <w:ind w:left="0" w:right="100" w:firstLine="75"/>
        <w:jc w:val="right"/>
      </w:pPr>
      <w:r>
        <w:t>一是建立并完善绩效评价数据库、指标库、标准值库及预算目标管理信息系统，实行动态化管理；二是组织指导街部门预算绩效管理工作，协调、督促预算部门按规定的要求将绩效目标编入年度预算，并负责审核及批复工作；三是对绩效评价中发现的问题负责整改落实，并根据信息公开的有关规定在一定范围内进行公开。</w:t>
      </w:r>
    </w:p>
    <w:p>
      <w:pPr>
        <w:numPr>
          <w:ilvl w:val="0"/>
          <w:numId w:val="9"/>
        </w:numPr>
        <w:spacing w:after="152" w:line="259" w:lineRule="auto"/>
        <w:ind w:left="1365" w:hanging="641"/>
      </w:pPr>
      <w:r>
        <w:t>决算执行评分情况</w:t>
      </w:r>
    </w:p>
    <w:p>
      <w:pPr>
        <w:ind w:left="-15"/>
      </w:pPr>
      <w:r>
        <w:t>2021年，我单位积极履职，强化管理，较好地完成了年度工作目标。根据部门整体支出绩效评价指标体系，我单位2021 年度评价得分为95分。部门整体支出绩效情况如下：</w:t>
      </w:r>
    </w:p>
    <w:p>
      <w:pPr>
        <w:numPr>
          <w:ilvl w:val="0"/>
          <w:numId w:val="10"/>
        </w:numPr>
        <w:spacing w:after="152" w:line="259" w:lineRule="auto"/>
        <w:ind w:hanging="480"/>
      </w:pPr>
      <w:r>
        <w:t>投入10分</w:t>
      </w:r>
    </w:p>
    <w:p>
      <w:pPr>
        <w:ind w:left="-15"/>
      </w:pPr>
      <w:r>
        <w:t>决算配置得10分。其中：在职人员控制率得 5分；“三公”经费决算数无变动，变动率等于0，得5分。</w:t>
      </w:r>
    </w:p>
    <w:p>
      <w:pPr>
        <w:numPr>
          <w:ilvl w:val="0"/>
          <w:numId w:val="10"/>
        </w:numPr>
        <w:spacing w:after="152" w:line="259" w:lineRule="auto"/>
        <w:ind w:hanging="480"/>
      </w:pPr>
      <w:r>
        <w:t>过程45分</w:t>
      </w:r>
    </w:p>
    <w:p>
      <w:pPr>
        <w:numPr>
          <w:ilvl w:val="0"/>
          <w:numId w:val="11"/>
        </w:numPr>
        <w:ind w:right="50" w:firstLine="480"/>
      </w:pPr>
      <w:r>
        <w:t>决算执行得20分。决算完成率100%，得5分；决算控制率0%，得5分；无新建楼堂馆所，因此新建楼堂馆所面积控制率和投资概算控制率为0，分别得5分，共10分。</w:t>
      </w:r>
    </w:p>
    <w:p>
      <w:pPr>
        <w:numPr>
          <w:ilvl w:val="0"/>
          <w:numId w:val="11"/>
        </w:numPr>
        <w:spacing w:after="5"/>
        <w:ind w:right="50" w:firstLine="480"/>
      </w:pPr>
      <w:r>
        <w:t>决算管理得25分。管理制度健全有相关财务管理制度等得8分；资金使用符合规定得7分；预决算信息公开按规定内容在规定时限在区政府门户网站公开，基础信息完善，得10 分。</w:t>
      </w:r>
    </w:p>
    <w:p>
      <w:pPr>
        <w:spacing w:after="152" w:line="259" w:lineRule="auto"/>
        <w:ind w:left="641" w:firstLine="0"/>
      </w:pPr>
      <w:r>
        <w:t>3、产出及效率40分</w:t>
      </w:r>
    </w:p>
    <w:p>
      <w:pPr>
        <w:spacing w:after="152" w:line="259" w:lineRule="auto"/>
        <w:ind w:left="480" w:firstLine="0"/>
      </w:pPr>
      <w:r>
        <w:t>（1）职责履行得10分。2021年我单位在全体干部职工的共</w:t>
      </w:r>
    </w:p>
    <w:p>
      <w:pPr>
        <w:ind w:left="-15" w:firstLine="0"/>
      </w:pPr>
      <w:r>
        <w:t>同努力下圆满出色完成了各项工作目标和任务。（2）履职效益得30分。我单位产出指标及效益指标得20 分，社会公众或服务对象满意度得10分，我单位的各方面工作都得到社会大众的肯定和好评。</w:t>
      </w:r>
    </w:p>
    <w:p>
      <w:pPr>
        <w:spacing w:after="152" w:line="259" w:lineRule="auto"/>
        <w:ind w:left="646" w:firstLine="0"/>
      </w:pPr>
      <w:r>
        <w:t>五.问题及整改措施</w:t>
      </w:r>
    </w:p>
    <w:p>
      <w:pPr>
        <w:ind w:left="-15"/>
      </w:pPr>
      <w:r>
        <w:t>发现的问题及原因：一是没有完善项目库、争取上级项目资金支持，没有做好工作，发动群众准备好配套资金；二是没有涵盖财政资金项目实施的事前、事中、事后的全过程，没有实现财政资金运行和预算管理效益最大化。三是没有做好解释答疑工作，提高群众满意度。</w:t>
      </w:r>
    </w:p>
    <w:p>
      <w:pPr>
        <w:spacing w:after="587"/>
        <w:ind w:left="-15"/>
      </w:pPr>
      <w:r>
        <w:t>整改措施：一是完善项目库、争取项目资金支持，发动群众准备好配套资金。二是采取项目跟踪，动态地了解和掌握项目绩效目标实现程度，资金支付情况和项目实施进度，部分项目资金支付进度滞后，以确保资金的使用效率和绩效目标的顺利实现。三是做好解释答疑工作，提高群众满意度。</w:t>
      </w:r>
    </w:p>
    <w:p>
      <w:pPr>
        <w:pStyle w:val="3"/>
        <w:spacing w:after="425"/>
        <w:ind w:left="214" w:right="31"/>
      </w:pPr>
      <w:r>
        <w:t>2021年度墩子河村公益性建设项目绩效评价报告</w:t>
      </w:r>
    </w:p>
    <w:p>
      <w:pPr>
        <w:numPr>
          <w:ilvl w:val="0"/>
          <w:numId w:val="12"/>
        </w:numPr>
        <w:spacing w:after="266"/>
      </w:pPr>
      <w:r>
        <w:t>基本情况。农村综改资金安排及整体绩效目标情况。</w:t>
      </w:r>
    </w:p>
    <w:p>
      <w:pPr>
        <w:ind w:left="300"/>
      </w:pPr>
      <w:r>
        <w:t>根据黄陂区综改办下达《区财政局关于下达2021年第一批农村综合改革转移支付资金的通知》文件要求，2021年区政府投入公益事业财政奖补资金15万元，对大潭办事处墩子河村路灯安装项目，进一步推进了新农村建设的目标实现，让农出行问题得到解决和改善。具体工程绩效目标为：1、路灯安装126盏。办事处于12月底组织处、村两级工作人员对已完工的项目进行了自验，工程质量合格，目前已交付使用。</w:t>
      </w:r>
    </w:p>
    <w:p>
      <w:pPr>
        <w:numPr>
          <w:ilvl w:val="0"/>
          <w:numId w:val="12"/>
        </w:numPr>
        <w:spacing w:after="152" w:line="259" w:lineRule="auto"/>
      </w:pPr>
      <w:r>
        <w:t>绩效目标完成情况分析</w:t>
      </w:r>
    </w:p>
    <w:p>
      <w:pPr>
        <w:spacing w:after="152" w:line="259" w:lineRule="auto"/>
        <w:ind w:left="641" w:firstLine="0"/>
      </w:pPr>
      <w:r>
        <w:t>（1）资金投入情况分析</w:t>
      </w:r>
    </w:p>
    <w:p>
      <w:pPr>
        <w:numPr>
          <w:ilvl w:val="0"/>
          <w:numId w:val="13"/>
        </w:numPr>
        <w:spacing w:after="152" w:line="259" w:lineRule="auto"/>
        <w:ind w:hanging="480"/>
      </w:pPr>
      <w:r>
        <w:t>项目资金到位情况分析</w:t>
      </w:r>
    </w:p>
    <w:p>
      <w:pPr>
        <w:ind w:left="-15"/>
      </w:pPr>
      <w:r>
        <w:t>财政补助资金于2021年12月份全部拨付到大潭办事处财政所财政专项资金专户。</w:t>
      </w:r>
    </w:p>
    <w:p>
      <w:pPr>
        <w:numPr>
          <w:ilvl w:val="0"/>
          <w:numId w:val="13"/>
        </w:numPr>
        <w:spacing w:after="152" w:line="259" w:lineRule="auto"/>
        <w:ind w:hanging="480"/>
      </w:pPr>
      <w:r>
        <w:t>项目资金执行情况分析</w:t>
      </w:r>
    </w:p>
    <w:p>
      <w:pPr>
        <w:ind w:left="-15"/>
      </w:pPr>
      <w:r>
        <w:t>项目累计投入资金15万元，项目资金全额用在了墩子河村农村公益事业建设财政奖补项目上，均按照工程进度拨付项目补助资金，并于12月底按合同(除10%质保金)全部拨付到施工单位，没有出现截留和违规使用资金的行为。</w:t>
      </w:r>
    </w:p>
    <w:p>
      <w:pPr>
        <w:numPr>
          <w:ilvl w:val="0"/>
          <w:numId w:val="13"/>
        </w:numPr>
        <w:spacing w:after="152" w:line="259" w:lineRule="auto"/>
        <w:ind w:hanging="480"/>
      </w:pPr>
      <w:r>
        <w:t>项目资金管理情况分析</w:t>
      </w:r>
    </w:p>
    <w:p>
      <w:pPr>
        <w:ind w:left="-15"/>
      </w:pPr>
      <w:r>
        <w:t>2021年农村公益事业建设财政奖补项目，由大潭办事处委托的第三方招标代理公司进行招标，办事处、村两级及监理共同联合监管的方式进行。项目资金管理上财政所严格按照专项资金4：5：1的比例拨款，同时按工程进度，科学确定拨款时间，保证工程进度的同时，保证财政资金的安全，拨款要有项目事前、事中、事后的图片作为依据，并有相应的中标书、开工证明、合同、预算、决算、验收报告、合规的发票等一系列的文件资料。</w:t>
      </w:r>
    </w:p>
    <w:p>
      <w:pPr>
        <w:numPr>
          <w:ilvl w:val="0"/>
          <w:numId w:val="14"/>
        </w:numPr>
        <w:spacing w:after="152" w:line="259" w:lineRule="auto"/>
        <w:ind w:hanging="799"/>
      </w:pPr>
      <w:r>
        <w:t>总体绩效目标完成情况分析</w:t>
      </w:r>
    </w:p>
    <w:p>
      <w:pPr>
        <w:ind w:left="-15"/>
      </w:pPr>
      <w:r>
        <w:t>项目建设依托墩子河村现有的基础条件，尊重农民意愿，充分调动农民的积极性，结合村庄环境整治建设，整合各类资源，以改善农村基础设施条件为目的，突出乡村特色，积极开展以农村公益基础设施建设为主要建设内容，通过路灯安装项目工程的成功实施，使项目村交通条件、环境条件得以改善，群众出行便利，解决了出门难。提高群众的生产生活水平，促进农民增收农业增效。</w:t>
      </w:r>
    </w:p>
    <w:p>
      <w:pPr>
        <w:numPr>
          <w:ilvl w:val="0"/>
          <w:numId w:val="14"/>
        </w:numPr>
        <w:spacing w:after="152" w:line="259" w:lineRule="auto"/>
        <w:ind w:hanging="799"/>
      </w:pPr>
      <w:r>
        <w:t>绩效目标完成情况分析。</w:t>
      </w:r>
    </w:p>
    <w:p>
      <w:pPr>
        <w:ind w:left="-15"/>
      </w:pPr>
      <w:r>
        <w:t>建设项目行政村按照批准的《2021年农村公益事业建设财政奖补项目申报书》确定的建设内容开展项目建设工作，按时完成126盏路灯的安装。 2021年12月，大潭办事处综改办领导小组通过走访、座谈、发放问卷形式，对群众满意度进行了调研。调查结果表明：</w:t>
      </w:r>
    </w:p>
    <w:p>
      <w:pPr>
        <w:numPr>
          <w:ilvl w:val="0"/>
          <w:numId w:val="15"/>
        </w:numPr>
      </w:pPr>
      <w:r>
        <w:t>所有的农户都对本村进行的农村公益事业建设项目工程表示满意。</w:t>
      </w:r>
    </w:p>
    <w:p>
      <w:pPr>
        <w:numPr>
          <w:ilvl w:val="0"/>
          <w:numId w:val="15"/>
        </w:numPr>
        <w:spacing w:after="144" w:line="265" w:lineRule="auto"/>
      </w:pPr>
      <w:r>
        <w:t>所有农户对工程质量、工程完工进度100%表示满意。</w:t>
      </w:r>
    </w:p>
    <w:p>
      <w:pPr>
        <w:numPr>
          <w:ilvl w:val="0"/>
          <w:numId w:val="15"/>
        </w:numPr>
      </w:pPr>
      <w:r>
        <w:t>社会效益明显，村容村貌得到明显改善，村民幸福指数得到了提高，全村没有发生一例因公益事业建设而投诉的事件。</w:t>
      </w:r>
    </w:p>
    <w:p>
      <w:pPr>
        <w:numPr>
          <w:ilvl w:val="0"/>
          <w:numId w:val="15"/>
        </w:numPr>
        <w:spacing w:after="139"/>
      </w:pPr>
      <w:r>
        <w:t>人居环境得到改善，项目建成后道路通畅，改变了天黑不出门的窘境，通过项目的实施，墩子河村干部、群众对项目的支持率均达到 100%，村民民主参与议事热情高涨。</w:t>
      </w:r>
    </w:p>
    <w:p>
      <w:pPr>
        <w:ind w:left="-15"/>
      </w:pPr>
      <w:r>
        <w:t>通过测评和调查，项目所在村的所有村干部和村民对于项目建设完工后带来的环境和生活条件的改善，都很满意，都认为给自己的生产生活带来了便利。</w:t>
      </w:r>
    </w:p>
    <w:p>
      <w:pPr>
        <w:numPr>
          <w:ilvl w:val="0"/>
          <w:numId w:val="16"/>
        </w:numPr>
        <w:spacing w:after="152" w:line="259" w:lineRule="auto"/>
      </w:pPr>
      <w:r>
        <w:t>偏离绩效目标的原因和下一步改进措施</w:t>
      </w:r>
    </w:p>
    <w:p>
      <w:pPr>
        <w:ind w:left="-15"/>
      </w:pPr>
      <w:r>
        <w:t>1.项目村路灯基座培土不够及时。项目村对于路灯安全宣传力度不够，农民意识不到位，未能及时路灯进行维护等工作。</w:t>
      </w:r>
    </w:p>
    <w:p>
      <w:pPr>
        <w:ind w:left="-15"/>
      </w:pPr>
      <w:r>
        <w:t>2.未及时建立道路后期管理维护机制。没有把路灯的后期维护作为新农村建设和为民办实事的重要举措来抓。</w:t>
      </w:r>
    </w:p>
    <w:p>
      <w:pPr>
        <w:ind w:left="-15"/>
      </w:pPr>
      <w:r>
        <w:t>3.完善管理机制，强化项目管理。按照以人为本的原则，将项目管理落实到户到人，确保政府投入直接落实到农户身上，逐步完善系统的、高效的管理机制。严格按照有关管理程序实施，依规划立项，按项目管理建制，据规程操作、考核和验收，建立资金使用审计和跟踪监督机制，强化资金管理，提高使用效率。</w:t>
      </w:r>
    </w:p>
    <w:p>
      <w:pPr>
        <w:numPr>
          <w:ilvl w:val="0"/>
          <w:numId w:val="16"/>
        </w:numPr>
        <w:spacing w:after="152" w:line="259" w:lineRule="auto"/>
      </w:pPr>
      <w:r>
        <w:t>绩效自评结果</w:t>
      </w:r>
    </w:p>
    <w:p>
      <w:pPr>
        <w:ind w:left="-15"/>
      </w:pPr>
      <w:r>
        <w:t>通过实施墩子河村路灯建设等措施，有力促进了社会主义新农村建设，较好实现了项目村亮化的目标，使得村容村貌变得干净整洁，助力了乡村振兴。</w:t>
      </w:r>
    </w:p>
    <w:p>
      <w:pPr>
        <w:ind w:left="-15"/>
      </w:pPr>
      <w:r>
        <w:t>项目建成后，解决了167户，424人的出行难的问题，改善了环境，促进了农村农业生产。以群众看得见、摸得着的方式改善了村容村貌，使农村焕发了新的生机活力。提高了群众参与农村公益事业的主动性和积极性，促进了农村社会事业的发展和文明乡风的建设，增进了大潭村群众的民生福祉，提高了群众的幸福感和获得感。</w:t>
      </w:r>
    </w:p>
    <w:p>
      <w:pPr>
        <w:numPr>
          <w:ilvl w:val="0"/>
          <w:numId w:val="16"/>
        </w:numPr>
      </w:pPr>
      <w:r>
        <w:t>其他需要说明的问题。中央巡视、各级审计和财政监督中发现的问题及其涉及的金额。</w:t>
      </w:r>
    </w:p>
    <w:p>
      <w:pPr>
        <w:spacing w:after="152" w:line="259" w:lineRule="auto"/>
        <w:ind w:left="10" w:right="100" w:hanging="10"/>
        <w:jc w:val="right"/>
      </w:pPr>
      <w:r>
        <w:t>墩子河村农村公益事业建设财政奖补项目于2021年12月</w:t>
      </w:r>
    </w:p>
    <w:p>
      <w:pPr>
        <w:spacing w:line="259" w:lineRule="auto"/>
        <w:ind w:left="-15" w:firstLine="0"/>
      </w:pPr>
      <w:r>
        <w:t>底建成，目前还没有发现工程质量和财务上的任何问题。</w:t>
      </w:r>
    </w:p>
    <w:sectPr>
      <w:pgSz w:w="11915" w:h="16851"/>
      <w:pgMar w:top="1440" w:right="1358" w:bottom="1672" w:left="156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D56FD"/>
    <w:multiLevelType w:val="multilevel"/>
    <w:tmpl w:val="017D56FD"/>
    <w:lvl w:ilvl="0" w:tentative="0">
      <w:start w:val="3"/>
      <w:numFmt w:val="ideographDigital"/>
      <w:lvlText w:val="%1、"/>
      <w:lvlJc w:val="left"/>
      <w:pPr>
        <w:ind w:left="1364"/>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804"/>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524"/>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244"/>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964"/>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84"/>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404"/>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124"/>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844"/>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
    <w:nsid w:val="09E30C10"/>
    <w:multiLevelType w:val="multilevel"/>
    <w:tmpl w:val="09E30C10"/>
    <w:lvl w:ilvl="0" w:tentative="0">
      <w:start w:val="1"/>
      <w:numFmt w:val="decimal"/>
      <w:lvlText w:val="%1、"/>
      <w:lvlJc w:val="left"/>
      <w:pPr>
        <w:ind w:left="1121"/>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2">
    <w:nsid w:val="0E7C6AF9"/>
    <w:multiLevelType w:val="multilevel"/>
    <w:tmpl w:val="0E7C6AF9"/>
    <w:lvl w:ilvl="0" w:tentative="0">
      <w:start w:val="3"/>
      <w:numFmt w:val="ideographDigital"/>
      <w:lvlText w:val="（%1）"/>
      <w:lvlJc w:val="left"/>
      <w:pPr>
        <w:ind w:left="641"/>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3">
    <w:nsid w:val="10AF3DD8"/>
    <w:multiLevelType w:val="multilevel"/>
    <w:tmpl w:val="10AF3DD8"/>
    <w:lvl w:ilvl="0" w:tentative="0">
      <w:start w:val="6"/>
      <w:numFmt w:val="ideographDigital"/>
      <w:lvlText w:val="%1、"/>
      <w:lvlJc w:val="left"/>
      <w:pPr>
        <w:ind w:left="313"/>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4">
    <w:nsid w:val="148A3111"/>
    <w:multiLevelType w:val="multilevel"/>
    <w:tmpl w:val="148A3111"/>
    <w:lvl w:ilvl="0" w:tentative="0">
      <w:start w:val="1"/>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5">
    <w:nsid w:val="179D15B4"/>
    <w:multiLevelType w:val="multilevel"/>
    <w:tmpl w:val="179D15B4"/>
    <w:lvl w:ilvl="0" w:tentative="0">
      <w:start w:val="1"/>
      <w:numFmt w:val="ideographDigital"/>
      <w:lvlText w:val="（%1）"/>
      <w:lvlJc w:val="left"/>
      <w:pPr>
        <w:ind w:left="313"/>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6">
    <w:nsid w:val="1E6B2D4E"/>
    <w:multiLevelType w:val="multilevel"/>
    <w:tmpl w:val="1E6B2D4E"/>
    <w:lvl w:ilvl="0" w:tentative="0">
      <w:start w:val="1"/>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7">
    <w:nsid w:val="20214773"/>
    <w:multiLevelType w:val="multilevel"/>
    <w:tmpl w:val="20214773"/>
    <w:lvl w:ilvl="0" w:tentative="0">
      <w:start w:val="8"/>
      <w:numFmt w:val="ideographDigital"/>
      <w:lvlText w:val="%1、"/>
      <w:lvlJc w:val="left"/>
      <w:pPr>
        <w:ind w:left="1284"/>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8">
    <w:nsid w:val="3E2F5BCC"/>
    <w:multiLevelType w:val="multilevel"/>
    <w:tmpl w:val="3E2F5BCC"/>
    <w:lvl w:ilvl="0" w:tentative="0">
      <w:start w:val="1"/>
      <w:numFmt w:val="decimal"/>
      <w:lvlText w:val="%1、"/>
      <w:lvlJc w:val="left"/>
      <w:pPr>
        <w:ind w:left="104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640"/>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360"/>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080"/>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00"/>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20"/>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240"/>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960"/>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680"/>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9">
    <w:nsid w:val="475B3629"/>
    <w:multiLevelType w:val="multilevel"/>
    <w:tmpl w:val="475B3629"/>
    <w:lvl w:ilvl="0" w:tentative="0">
      <w:start w:val="1"/>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0">
    <w:nsid w:val="48F2387B"/>
    <w:multiLevelType w:val="multilevel"/>
    <w:tmpl w:val="48F2387B"/>
    <w:lvl w:ilvl="0" w:tentative="0">
      <w:start w:val="2"/>
      <w:numFmt w:val="decimal"/>
      <w:lvlText w:val="（%1）"/>
      <w:lvlJc w:val="left"/>
      <w:pPr>
        <w:ind w:left="144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1">
    <w:nsid w:val="49156EC8"/>
    <w:multiLevelType w:val="multilevel"/>
    <w:tmpl w:val="49156EC8"/>
    <w:lvl w:ilvl="0" w:tentative="0">
      <w:start w:val="2"/>
      <w:numFmt w:val="ideographDigital"/>
      <w:lvlText w:val="%1、"/>
      <w:lvlJc w:val="left"/>
      <w:pPr>
        <w:ind w:left="1284"/>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2">
    <w:nsid w:val="49EE6FC6"/>
    <w:multiLevelType w:val="multilevel"/>
    <w:tmpl w:val="49EE6FC6"/>
    <w:lvl w:ilvl="0" w:tentative="0">
      <w:start w:val="1"/>
      <w:numFmt w:val="ideographDigital"/>
      <w:lvlText w:val="%1、"/>
      <w:lvlJc w:val="left"/>
      <w:pPr>
        <w:ind w:left="2018"/>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3">
    <w:nsid w:val="650363AA"/>
    <w:multiLevelType w:val="multilevel"/>
    <w:tmpl w:val="650363AA"/>
    <w:lvl w:ilvl="0" w:tentative="0">
      <w:start w:val="4"/>
      <w:numFmt w:val="ideographDigital"/>
      <w:lvlText w:val="%1、"/>
      <w:lvlJc w:val="left"/>
      <w:pPr>
        <w:ind w:left="1284"/>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4">
    <w:nsid w:val="71E528B1"/>
    <w:multiLevelType w:val="multilevel"/>
    <w:tmpl w:val="71E528B1"/>
    <w:lvl w:ilvl="0" w:tentative="0">
      <w:start w:val="1"/>
      <w:numFmt w:val="decimal"/>
      <w:lvlText w:val="%1、"/>
      <w:lvlJc w:val="left"/>
      <w:pPr>
        <w:ind w:left="0"/>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abstractNum w:abstractNumId="15">
    <w:nsid w:val="77386BD0"/>
    <w:multiLevelType w:val="multilevel"/>
    <w:tmpl w:val="77386BD0"/>
    <w:lvl w:ilvl="0" w:tentative="0">
      <w:start w:val="2"/>
      <w:numFmt w:val="decimal"/>
      <w:lvlText w:val="%1."/>
      <w:lvlJc w:val="left"/>
      <w:pPr>
        <w:ind w:left="313"/>
      </w:pPr>
      <w:rPr>
        <w:rFonts w:ascii="宋体" w:hAnsi="宋体" w:eastAsia="宋体" w:cs="宋体"/>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宋体" w:hAnsi="宋体" w:eastAsia="宋体" w:cs="宋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宋体" w:hAnsi="宋体" w:eastAsia="宋体" w:cs="宋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宋体" w:hAnsi="宋体" w:eastAsia="宋体" w:cs="宋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宋体" w:hAnsi="宋体" w:eastAsia="宋体" w:cs="宋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宋体" w:hAnsi="宋体" w:eastAsia="宋体" w:cs="宋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宋体" w:hAnsi="宋体" w:eastAsia="宋体" w:cs="宋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宋体" w:hAnsi="宋体" w:eastAsia="宋体" w:cs="宋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宋体" w:hAnsi="宋体" w:eastAsia="宋体" w:cs="宋体"/>
        <w:b w:val="0"/>
        <w:i w:val="0"/>
        <w:strike w:val="0"/>
        <w:dstrike w:val="0"/>
        <w:color w:val="000000"/>
        <w:sz w:val="32"/>
        <w:szCs w:val="32"/>
        <w:u w:val="none" w:color="000000"/>
        <w:shd w:val="clear" w:color="auto" w:fill="auto"/>
        <w:vertAlign w:val="baseline"/>
      </w:rPr>
    </w:lvl>
  </w:abstractNum>
  <w:num w:numId="1">
    <w:abstractNumId w:val="12"/>
  </w:num>
  <w:num w:numId="2">
    <w:abstractNumId w:val="11"/>
  </w:num>
  <w:num w:numId="3">
    <w:abstractNumId w:val="13"/>
  </w:num>
  <w:num w:numId="4">
    <w:abstractNumId w:val="3"/>
  </w:num>
  <w:num w:numId="5">
    <w:abstractNumId w:val="7"/>
  </w:num>
  <w:num w:numId="6">
    <w:abstractNumId w:val="6"/>
  </w:num>
  <w:num w:numId="7">
    <w:abstractNumId w:val="15"/>
  </w:num>
  <w:num w:numId="8">
    <w:abstractNumId w:val="14"/>
  </w:num>
  <w:num w:numId="9">
    <w:abstractNumId w:val="0"/>
  </w:num>
  <w:num w:numId="10">
    <w:abstractNumId w:val="8"/>
  </w:num>
  <w:num w:numId="11">
    <w:abstractNumId w:val="4"/>
  </w:num>
  <w:num w:numId="12">
    <w:abstractNumId w:val="5"/>
  </w:num>
  <w:num w:numId="13">
    <w:abstractNumId w:val="1"/>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yYTZhZDE4YzFkMWFmZGJlYmRmYjQ3NDA3Mjc0YTQifQ=="/>
  </w:docVars>
  <w:rsids>
    <w:rsidRoot w:val="00E155F1"/>
    <w:rsid w:val="006A32BA"/>
    <w:rsid w:val="00E155F1"/>
    <w:rsid w:val="60BB51DE"/>
    <w:rsid w:val="EFFCA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56" w:lineRule="auto"/>
      <w:ind w:left="737" w:firstLine="636"/>
    </w:pPr>
    <w:rPr>
      <w:rFonts w:ascii="宋体" w:hAnsi="宋体" w:eastAsia="宋体" w:cs="宋体"/>
      <w:color w:val="000000"/>
      <w:kern w:val="2"/>
      <w:sz w:val="32"/>
      <w:szCs w:val="22"/>
      <w:lang w:val="en-US" w:eastAsia="zh-CN" w:bidi="ar-SA"/>
    </w:rPr>
  </w:style>
  <w:style w:type="paragraph" w:styleId="2">
    <w:name w:val="heading 1"/>
    <w:next w:val="1"/>
    <w:link w:val="6"/>
    <w:qFormat/>
    <w:uiPriority w:val="9"/>
    <w:pPr>
      <w:keepNext/>
      <w:keepLines/>
      <w:spacing w:after="182" w:line="259" w:lineRule="auto"/>
      <w:ind w:left="651" w:hanging="10"/>
      <w:outlineLvl w:val="0"/>
    </w:pPr>
    <w:rPr>
      <w:rFonts w:ascii="黑体" w:hAnsi="黑体" w:eastAsia="黑体" w:cs="黑体"/>
      <w:color w:val="000000"/>
      <w:kern w:val="2"/>
      <w:sz w:val="32"/>
      <w:szCs w:val="22"/>
      <w:lang w:val="en-US" w:eastAsia="zh-CN" w:bidi="ar-SA"/>
    </w:rPr>
  </w:style>
  <w:style w:type="paragraph" w:styleId="3">
    <w:name w:val="heading 2"/>
    <w:next w:val="1"/>
    <w:link w:val="7"/>
    <w:unhideWhenUsed/>
    <w:qFormat/>
    <w:uiPriority w:val="9"/>
    <w:pPr>
      <w:keepNext/>
      <w:keepLines/>
      <w:spacing w:after="553" w:line="265" w:lineRule="auto"/>
      <w:ind w:left="747" w:hanging="10"/>
      <w:jc w:val="center"/>
      <w:outlineLvl w:val="1"/>
    </w:pPr>
    <w:rPr>
      <w:rFonts w:ascii="宋体" w:hAnsi="宋体" w:eastAsia="宋体" w:cs="宋体"/>
      <w:color w:val="000000"/>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字符"/>
    <w:link w:val="2"/>
    <w:qFormat/>
    <w:uiPriority w:val="0"/>
    <w:rPr>
      <w:rFonts w:ascii="黑体" w:hAnsi="黑体" w:eastAsia="黑体" w:cs="黑体"/>
      <w:color w:val="000000"/>
      <w:sz w:val="32"/>
    </w:rPr>
  </w:style>
  <w:style w:type="character" w:customStyle="1" w:styleId="7">
    <w:name w:val="标题 2 字符"/>
    <w:link w:val="3"/>
    <w:qFormat/>
    <w:uiPriority w:val="0"/>
    <w:rPr>
      <w:rFonts w:ascii="宋体" w:hAnsi="宋体" w:eastAsia="宋体" w:cs="宋体"/>
      <w:color w:val="000000"/>
      <w:sz w:val="32"/>
    </w:rPr>
  </w:style>
  <w:style w:type="table" w:customStyle="1" w:styleId="8">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18343</Words>
  <Characters>22910</Characters>
  <Lines>186</Lines>
  <Paragraphs>52</Paragraphs>
  <TotalTime>7</TotalTime>
  <ScaleCrop>false</ScaleCrop>
  <LinksUpToDate>false</LinksUpToDate>
  <CharactersWithSpaces>23061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2023-02-15T10:49:00Z</dcterms:created>
  <dc:creator>Administrator</dc:creator>
  <cp:lastModifiedBy>r123</cp:lastModifiedBy>
  <dcterms:modified xsi:type="dcterms:W3CDTF">2023-04-18T10:40:56Z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5C822D53F960402F80E13D2147457F1C</vt:lpwstr>
  </property>
</Properties>
</file>