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720" w:firstLineChars="20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黄陂区李家集街202</w:t>
      </w:r>
      <w:r>
        <w:rPr>
          <w:rFonts w:hint="eastAsia" w:ascii="方正小标宋简体" w:hAnsi="方正小标宋简体" w:eastAsia="方正小标宋简体" w:cs="方正小标宋简体"/>
          <w:color w:val="auto"/>
          <w:sz w:val="36"/>
          <w:szCs w:val="36"/>
          <w:lang w:val="en-US" w:eastAsia="zh-CN"/>
        </w:rPr>
        <w:t>4</w:t>
      </w:r>
      <w:r>
        <w:rPr>
          <w:rFonts w:hint="eastAsia" w:ascii="方正小标宋简体" w:hAnsi="方正小标宋简体" w:eastAsia="方正小标宋简体" w:cs="方正小标宋简体"/>
          <w:color w:val="auto"/>
          <w:sz w:val="36"/>
          <w:szCs w:val="36"/>
        </w:rPr>
        <w:t>年度政府信息公开年度报告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720" w:firstLineChars="200"/>
        <w:jc w:val="center"/>
        <w:textAlignment w:val="auto"/>
        <w:rPr>
          <w:rFonts w:hint="eastAsia" w:ascii="方正小标宋简体" w:hAnsi="方正小标宋简体" w:eastAsia="方正小标宋简体" w:cs="方正小标宋简体"/>
          <w:color w:val="auto"/>
          <w:sz w:val="36"/>
          <w:szCs w:val="36"/>
        </w:rPr>
      </w:pPr>
      <w:bookmarkStart w:id="1" w:name="_GoBack"/>
      <w:bookmarkEnd w:id="1"/>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年，在</w:t>
      </w:r>
      <w:r>
        <w:rPr>
          <w:rFonts w:hint="eastAsia" w:ascii="仿宋_GB2312" w:hAnsi="仿宋_GB2312" w:eastAsia="仿宋_GB2312" w:cs="仿宋_GB2312"/>
          <w:color w:val="auto"/>
          <w:sz w:val="32"/>
          <w:szCs w:val="32"/>
          <w:lang w:val="en-US" w:eastAsia="zh-CN"/>
        </w:rPr>
        <w:t>区委、区政府</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坚强</w:t>
      </w:r>
      <w:r>
        <w:rPr>
          <w:rFonts w:hint="eastAsia" w:ascii="仿宋_GB2312" w:hAnsi="仿宋_GB2312" w:eastAsia="仿宋_GB2312" w:cs="仿宋_GB2312"/>
          <w:color w:val="auto"/>
          <w:sz w:val="32"/>
          <w:szCs w:val="32"/>
        </w:rPr>
        <w:t>领导下，</w:t>
      </w:r>
      <w:r>
        <w:rPr>
          <w:rFonts w:hint="eastAsia" w:ascii="仿宋_GB2312" w:hAnsi="仿宋_GB2312" w:eastAsia="仿宋_GB2312" w:cs="仿宋_GB2312"/>
          <w:color w:val="auto"/>
          <w:sz w:val="32"/>
          <w:szCs w:val="32"/>
          <w:lang w:val="en-US" w:eastAsia="zh-CN"/>
        </w:rPr>
        <w:t>李家集街</w:t>
      </w:r>
      <w:r>
        <w:rPr>
          <w:rFonts w:hint="eastAsia" w:ascii="仿宋_GB2312" w:hAnsi="仿宋_GB2312" w:eastAsia="仿宋_GB2312" w:cs="仿宋_GB2312"/>
          <w:color w:val="auto"/>
          <w:sz w:val="32"/>
          <w:szCs w:val="32"/>
        </w:rPr>
        <w:t>认真落实政府信息公开条例，规范公开内容、健全公开制度、拓展公开渠道、提升公开质量，及时、准确地向社会公开政府信息，不断加强政务信息管理，大力夯实工作基础，推动了信息公开工作有序开展。根据《中华人民共和国政府信息公开条例》有关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现将李家集街道</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年度政府信息公开年度工作情况报告如下：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1、</w:t>
      </w:r>
      <w:r>
        <w:rPr>
          <w:rFonts w:hint="eastAsia" w:ascii="楷体" w:hAnsi="楷体" w:eastAsia="楷体" w:cs="楷体"/>
          <w:b/>
          <w:bCs/>
          <w:color w:val="auto"/>
          <w:sz w:val="32"/>
          <w:szCs w:val="32"/>
          <w:lang w:val="en-US" w:eastAsia="zh-CN"/>
        </w:rPr>
        <w:t>强化</w:t>
      </w:r>
      <w:r>
        <w:rPr>
          <w:rFonts w:hint="eastAsia" w:ascii="楷体" w:hAnsi="楷体" w:eastAsia="楷体" w:cs="楷体"/>
          <w:b/>
          <w:bCs/>
          <w:color w:val="auto"/>
          <w:sz w:val="32"/>
          <w:szCs w:val="32"/>
        </w:rPr>
        <w:t>组织领导。</w:t>
      </w:r>
      <w:r>
        <w:rPr>
          <w:rFonts w:hint="eastAsia" w:ascii="仿宋_GB2312" w:hAnsi="仿宋_GB2312" w:eastAsia="仿宋_GB2312" w:cs="仿宋_GB2312"/>
          <w:color w:val="auto"/>
          <w:sz w:val="32"/>
          <w:szCs w:val="32"/>
        </w:rPr>
        <w:t>围绕促进行政权力公开透明运行，</w:t>
      </w:r>
      <w:r>
        <w:rPr>
          <w:rFonts w:hint="eastAsia" w:ascii="仿宋_GB2312" w:hAnsi="仿宋_GB2312" w:eastAsia="仿宋_GB2312" w:cs="仿宋_GB2312"/>
          <w:color w:val="auto"/>
          <w:sz w:val="32"/>
          <w:szCs w:val="32"/>
          <w:lang w:val="en-US" w:eastAsia="zh-CN"/>
        </w:rPr>
        <w:t>李家集街</w:t>
      </w:r>
      <w:r>
        <w:rPr>
          <w:rFonts w:hint="eastAsia" w:ascii="仿宋_GB2312" w:hAnsi="仿宋_GB2312" w:eastAsia="仿宋_GB2312" w:cs="仿宋_GB2312"/>
          <w:color w:val="auto"/>
          <w:sz w:val="32"/>
          <w:szCs w:val="32"/>
        </w:rPr>
        <w:t>切实加强对政府公开工作的组织领导，成立了以</w:t>
      </w:r>
      <w:r>
        <w:rPr>
          <w:rFonts w:hint="eastAsia" w:ascii="仿宋_GB2312" w:hAnsi="仿宋_GB2312" w:eastAsia="仿宋_GB2312" w:cs="仿宋_GB2312"/>
          <w:color w:val="auto"/>
          <w:sz w:val="32"/>
          <w:szCs w:val="32"/>
          <w:lang w:val="en-US" w:eastAsia="zh-CN"/>
        </w:rPr>
        <w:t>街党工委副书记、</w:t>
      </w:r>
      <w:r>
        <w:rPr>
          <w:rFonts w:hint="eastAsia" w:ascii="仿宋_GB2312" w:hAnsi="仿宋_GB2312" w:eastAsia="仿宋_GB2312" w:cs="仿宋_GB2312"/>
          <w:color w:val="auto"/>
          <w:sz w:val="32"/>
          <w:szCs w:val="32"/>
        </w:rPr>
        <w:t>办事处主任</w:t>
      </w:r>
      <w:r>
        <w:rPr>
          <w:rFonts w:hint="eastAsia" w:ascii="仿宋_GB2312" w:hAnsi="仿宋_GB2312" w:eastAsia="仿宋_GB2312" w:cs="仿宋_GB2312"/>
          <w:color w:val="auto"/>
          <w:sz w:val="32"/>
          <w:szCs w:val="32"/>
          <w:lang w:val="en-US" w:eastAsia="zh-CN"/>
        </w:rPr>
        <w:t>张建</w:t>
      </w:r>
      <w:r>
        <w:rPr>
          <w:rFonts w:hint="eastAsia" w:ascii="仿宋_GB2312" w:hAnsi="仿宋_GB2312" w:eastAsia="仿宋_GB2312" w:cs="仿宋_GB2312"/>
          <w:color w:val="auto"/>
          <w:sz w:val="32"/>
          <w:szCs w:val="32"/>
        </w:rPr>
        <w:t>为组长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党工委</w:t>
      </w:r>
      <w:r>
        <w:rPr>
          <w:rFonts w:hint="eastAsia" w:ascii="仿宋_GB2312" w:hAnsi="仿宋_GB2312" w:eastAsia="仿宋_GB2312" w:cs="仿宋_GB2312"/>
          <w:color w:val="auto"/>
          <w:sz w:val="32"/>
          <w:szCs w:val="32"/>
          <w:lang w:val="en-US" w:eastAsia="zh-CN"/>
        </w:rPr>
        <w:t>委员、办事处副主任（挂职）陶琴为</w:t>
      </w: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党政办、</w:t>
      </w:r>
      <w:r>
        <w:rPr>
          <w:rFonts w:hint="eastAsia" w:ascii="仿宋_GB2312" w:hAnsi="仿宋_GB2312" w:eastAsia="仿宋_GB2312" w:cs="仿宋_GB2312"/>
          <w:color w:val="auto"/>
          <w:sz w:val="32"/>
          <w:szCs w:val="32"/>
          <w:lang w:val="en-US" w:eastAsia="zh-CN"/>
        </w:rPr>
        <w:t>党员群众服务中心</w:t>
      </w:r>
      <w:r>
        <w:rPr>
          <w:rFonts w:hint="eastAsia" w:ascii="仿宋_GB2312" w:hAnsi="仿宋_GB2312" w:eastAsia="仿宋_GB2312" w:cs="仿宋_GB2312"/>
          <w:color w:val="auto"/>
          <w:sz w:val="32"/>
          <w:szCs w:val="32"/>
        </w:rPr>
        <w:t>、经发办、社会事务办、</w:t>
      </w:r>
      <w:r>
        <w:rPr>
          <w:rFonts w:hint="eastAsia" w:ascii="仿宋_GB2312" w:hAnsi="仿宋_GB2312" w:eastAsia="仿宋_GB2312" w:cs="仿宋_GB2312"/>
          <w:color w:val="auto"/>
          <w:sz w:val="32"/>
          <w:szCs w:val="32"/>
          <w:lang w:val="en-US" w:eastAsia="zh-CN"/>
        </w:rPr>
        <w:t>平安办</w:t>
      </w:r>
      <w:r>
        <w:rPr>
          <w:rFonts w:hint="eastAsia" w:ascii="仿宋_GB2312" w:hAnsi="仿宋_GB2312" w:eastAsia="仿宋_GB2312" w:cs="仿宋_GB2312"/>
          <w:color w:val="auto"/>
          <w:sz w:val="32"/>
          <w:szCs w:val="32"/>
        </w:rPr>
        <w:t>等单位为成员领导小组，明确由街分管领导</w:t>
      </w:r>
      <w:r>
        <w:rPr>
          <w:rFonts w:hint="eastAsia" w:ascii="仿宋_GB2312" w:hAnsi="仿宋_GB2312" w:eastAsia="仿宋_GB2312" w:cs="仿宋_GB2312"/>
          <w:color w:val="auto"/>
          <w:sz w:val="32"/>
          <w:szCs w:val="32"/>
          <w:lang w:val="en-US" w:eastAsia="zh-CN"/>
        </w:rPr>
        <w:t>陶琴同志</w:t>
      </w:r>
      <w:r>
        <w:rPr>
          <w:rFonts w:hint="eastAsia" w:ascii="仿宋_GB2312" w:hAnsi="仿宋_GB2312" w:eastAsia="仿宋_GB2312" w:cs="仿宋_GB2312"/>
          <w:color w:val="auto"/>
          <w:sz w:val="32"/>
          <w:szCs w:val="32"/>
        </w:rPr>
        <w:t>主抓政府信息公开工作，党政办负责政府信息公开内容</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更新维护、组织协调等日常工作，切实保证了政府信息公开工作领导力量，确保此项工作顺利开展。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2、</w:t>
      </w:r>
      <w:r>
        <w:rPr>
          <w:rFonts w:hint="eastAsia" w:ascii="楷体" w:hAnsi="楷体" w:eastAsia="楷体" w:cs="楷体"/>
          <w:b/>
          <w:bCs/>
          <w:color w:val="auto"/>
          <w:sz w:val="32"/>
          <w:szCs w:val="32"/>
          <w:lang w:val="en-US" w:eastAsia="zh-CN"/>
        </w:rPr>
        <w:t>强化信息管理</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rPr>
        <w:t>依托</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政府门户网站，立足自身实际，按照《中华人民共和国政府信息公开条例》要求，进一步完善了本单位信息公开上报、审核、保密审查等相关工作</w:t>
      </w:r>
      <w:r>
        <w:rPr>
          <w:rFonts w:hint="eastAsia" w:ascii="仿宋_GB2312" w:hAnsi="仿宋_GB2312" w:eastAsia="仿宋_GB2312" w:cs="仿宋_GB2312"/>
          <w:color w:val="auto"/>
          <w:sz w:val="32"/>
          <w:szCs w:val="32"/>
          <w:lang w:val="en-US" w:eastAsia="zh-CN"/>
        </w:rPr>
        <w:t>流程</w:t>
      </w:r>
      <w:r>
        <w:rPr>
          <w:rFonts w:hint="eastAsia" w:ascii="仿宋_GB2312" w:hAnsi="仿宋_GB2312" w:eastAsia="仿宋_GB2312" w:cs="仿宋_GB2312"/>
          <w:color w:val="auto"/>
          <w:sz w:val="32"/>
          <w:szCs w:val="32"/>
        </w:rPr>
        <w:t>，维护好政府门户网站</w:t>
      </w:r>
      <w:r>
        <w:rPr>
          <w:rFonts w:hint="eastAsia" w:ascii="仿宋_GB2312" w:hAnsi="仿宋_GB2312" w:eastAsia="仿宋_GB2312" w:cs="仿宋_GB2312"/>
          <w:color w:val="auto"/>
          <w:sz w:val="32"/>
          <w:szCs w:val="32"/>
          <w:lang w:val="en-US" w:eastAsia="zh-CN"/>
        </w:rPr>
        <w:t>责任</w:t>
      </w:r>
      <w:r>
        <w:rPr>
          <w:rFonts w:hint="eastAsia" w:ascii="仿宋_GB2312" w:hAnsi="仿宋_GB2312" w:eastAsia="仿宋_GB2312" w:cs="仿宋_GB2312"/>
          <w:color w:val="auto"/>
          <w:sz w:val="32"/>
          <w:szCs w:val="32"/>
        </w:rPr>
        <w:t>板块，保证</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公开信息的及时、严谨，做到了涉密信息不上网、上网信息</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涉密。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3、强化信息答复</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rPr>
        <w:t>采取公开</w:t>
      </w:r>
      <w:r>
        <w:rPr>
          <w:rFonts w:hint="eastAsia" w:ascii="仿宋_GB2312" w:hAnsi="仿宋_GB2312" w:eastAsia="仿宋_GB2312" w:cs="仿宋_GB2312"/>
          <w:color w:val="auto"/>
          <w:sz w:val="32"/>
          <w:szCs w:val="32"/>
          <w:lang w:val="en-US" w:eastAsia="zh-CN"/>
        </w:rPr>
        <w:t>电话</w:t>
      </w:r>
      <w:r>
        <w:rPr>
          <w:rFonts w:hint="eastAsia" w:ascii="仿宋_GB2312" w:hAnsi="仿宋_GB2312" w:eastAsia="仿宋_GB2312" w:cs="仿宋_GB2312"/>
          <w:color w:val="auto"/>
          <w:sz w:val="32"/>
          <w:szCs w:val="32"/>
        </w:rPr>
        <w:t>、邮箱咨询以及网络公开等形式，及时反馈群众</w:t>
      </w:r>
      <w:r>
        <w:rPr>
          <w:rFonts w:hint="eastAsia" w:ascii="仿宋_GB2312" w:hAnsi="仿宋_GB2312" w:eastAsia="仿宋_GB2312" w:cs="仿宋_GB2312"/>
          <w:color w:val="auto"/>
          <w:sz w:val="32"/>
          <w:szCs w:val="32"/>
          <w:lang w:val="en-US" w:eastAsia="zh-CN"/>
        </w:rPr>
        <w:t>关切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rPr>
        <w:t>规范信息公开方式，完善公开内容，明确具体措施，对于应主动公开的政府信息门类，及时上传网站公开发布，方便公民、法人和其他组织查询，提高</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工作透明度，充分满足</w:t>
      </w:r>
      <w:r>
        <w:rPr>
          <w:rFonts w:hint="eastAsia" w:ascii="仿宋_GB2312" w:hAnsi="仿宋_GB2312" w:eastAsia="仿宋_GB2312" w:cs="仿宋_GB2312"/>
          <w:color w:val="auto"/>
          <w:sz w:val="32"/>
          <w:szCs w:val="32"/>
          <w:lang w:val="en-US" w:eastAsia="zh-CN"/>
        </w:rPr>
        <w:t>了人民</w:t>
      </w:r>
      <w:r>
        <w:rPr>
          <w:rFonts w:hint="eastAsia" w:ascii="仿宋_GB2312" w:hAnsi="仿宋_GB2312" w:eastAsia="仿宋_GB2312" w:cs="仿宋_GB2312"/>
          <w:color w:val="auto"/>
          <w:sz w:val="32"/>
          <w:szCs w:val="32"/>
        </w:rPr>
        <w:t>群众的知情权。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4、强化平台建设。</w:t>
      </w:r>
      <w:r>
        <w:rPr>
          <w:rFonts w:hint="eastAsia" w:ascii="仿宋_GB2312" w:hAnsi="仿宋_GB2312" w:eastAsia="仿宋_GB2312" w:cs="仿宋_GB2312"/>
          <w:color w:val="auto"/>
          <w:sz w:val="32"/>
          <w:szCs w:val="32"/>
        </w:rPr>
        <w:t>按照《中华人民共和国政府信息公开条例》要求，通过政府网站对外公布机构职能办公地址、办公时间、联系人、负责人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财政预算决算等信息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利用区政府年鉴、统计公告公布国民经济和社会发展统计信息；利用微信工作群全面适时公告内部政府部门相关动态，借助“大美李集”微信公众号平台主动公开202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年全街重大会议、重要活动、重点工作情况，发布党建、防汛</w:t>
      </w:r>
      <w:r>
        <w:rPr>
          <w:rFonts w:hint="eastAsia" w:ascii="仿宋_GB2312" w:hAnsi="仿宋_GB2312" w:eastAsia="仿宋_GB2312" w:cs="仿宋_GB2312"/>
          <w:color w:val="auto"/>
          <w:sz w:val="32"/>
          <w:szCs w:val="32"/>
          <w:lang w:val="en-US" w:eastAsia="zh-CN"/>
        </w:rPr>
        <w:t>抗旱</w:t>
      </w:r>
      <w:r>
        <w:rPr>
          <w:rFonts w:hint="eastAsia" w:ascii="仿宋_GB2312" w:hAnsi="仿宋_GB2312" w:eastAsia="仿宋_GB2312" w:cs="仿宋_GB2312"/>
          <w:color w:val="auto"/>
          <w:sz w:val="32"/>
          <w:szCs w:val="32"/>
        </w:rPr>
        <w:t>、农业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环保</w:t>
      </w:r>
      <w:r>
        <w:rPr>
          <w:rFonts w:hint="eastAsia" w:ascii="仿宋_GB2312" w:hAnsi="仿宋_GB2312" w:eastAsia="仿宋_GB2312" w:cs="仿宋_GB2312"/>
          <w:color w:val="auto"/>
          <w:sz w:val="32"/>
          <w:szCs w:val="32"/>
        </w:rPr>
        <w:t>及转载中央省市媒体新闻信息。利用</w:t>
      </w:r>
      <w:r>
        <w:rPr>
          <w:rFonts w:hint="eastAsia" w:ascii="仿宋_GB2312" w:hAnsi="仿宋_GB2312" w:eastAsia="仿宋_GB2312" w:cs="仿宋_GB2312"/>
          <w:color w:val="auto"/>
          <w:sz w:val="32"/>
          <w:szCs w:val="32"/>
          <w:lang w:val="en-US" w:eastAsia="zh-CN"/>
        </w:rPr>
        <w:t>一封信、宣传栏、小喇叭等方式开展禁鞭、禁毒、秸秆禁烧、森林防火、五经普、征兵等工作宣传</w:t>
      </w:r>
      <w:r>
        <w:rPr>
          <w:rFonts w:hint="eastAsia" w:ascii="仿宋_GB2312" w:hAnsi="仿宋_GB2312" w:eastAsia="仿宋_GB2312" w:cs="仿宋_GB2312"/>
          <w:color w:val="auto"/>
          <w:sz w:val="32"/>
          <w:szCs w:val="32"/>
        </w:rPr>
        <w:t>，还通过党员群众服务中心适时解答各项政策，传递政府相关信息，尽力为群众服务。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黑体" w:hAnsi="黑体" w:eastAsia="黑体" w:cs="黑体"/>
          <w:color w:val="auto"/>
          <w:sz w:val="32"/>
          <w:szCs w:val="32"/>
          <w:lang w:eastAsia="zh-CN"/>
        </w:rPr>
      </w:pPr>
      <w:r>
        <w:rPr>
          <w:rFonts w:hint="eastAsia" w:ascii="楷体" w:hAnsi="楷体" w:eastAsia="楷体" w:cs="楷体"/>
          <w:b/>
          <w:bCs/>
          <w:color w:val="auto"/>
          <w:sz w:val="32"/>
          <w:szCs w:val="32"/>
          <w:lang w:val="en-US" w:eastAsia="zh-CN"/>
        </w:rPr>
        <w:t>5、强化监督保障。</w:t>
      </w:r>
      <w:r>
        <w:rPr>
          <w:rFonts w:hint="eastAsia" w:ascii="仿宋_GB2312" w:hAnsi="仿宋_GB2312" w:eastAsia="仿宋_GB2312" w:cs="仿宋_GB2312"/>
          <w:color w:val="auto"/>
          <w:sz w:val="32"/>
          <w:szCs w:val="32"/>
          <w:lang w:val="en-US" w:eastAsia="zh-CN"/>
        </w:rPr>
        <w:t>建立完善政务公开监督测评机制，开展集中、专项培训，及时发现和解决政务公开突出问题，提升工作人员专业水平，切实提高政务公开工作质效，严格落实社会评议制度，积极听取社会公众意见。全年未发生因不履行政务公开义务而发生的责任追究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主动公开政府信息情况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全面规范行政规范性文件</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lang w:val="en-US" w:eastAsia="zh-CN"/>
        </w:rPr>
        <w:t>系统清理行政规范性文件，新制发行政规范性文件0件，废让行政规范性文件0件，现行有效行政规范性文件0件。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、主动公开预决算。</w:t>
      </w:r>
      <w:r>
        <w:rPr>
          <w:rFonts w:hint="eastAsia" w:ascii="仿宋_GB2312" w:hAnsi="仿宋_GB2312" w:eastAsia="仿宋_GB2312" w:cs="仿宋_GB2312"/>
          <w:b w:val="0"/>
          <w:bCs w:val="0"/>
          <w:color w:val="auto"/>
          <w:sz w:val="32"/>
          <w:szCs w:val="32"/>
        </w:rPr>
        <w:t>在黄陂区人民政府网站平台公示公开了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年度黄陂区李家集街政府信息公开年度报告</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《李家集街党政领导班子成员简介》《李家集街内设及下属机构</w:t>
      </w:r>
      <w:r>
        <w:rPr>
          <w:rFonts w:hint="eastAsia" w:ascii="仿宋_GB2312" w:hAnsi="仿宋_GB2312" w:eastAsia="仿宋_GB2312" w:cs="仿宋_GB2312"/>
          <w:b w:val="0"/>
          <w:bCs w:val="0"/>
          <w:color w:val="auto"/>
          <w:sz w:val="32"/>
          <w:szCs w:val="32"/>
          <w:lang w:val="en-US" w:eastAsia="zh-CN"/>
        </w:rPr>
        <w:t>简介</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年度武汉市黄陂区李家集街道办事处（本级）部门决算公开》《</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年度武汉市黄陂区李家集街道办事处（汇总）部门决算公开》《202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年度武汉市黄陂区李家集街道财政所部门决算公开》《202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年度武汉市黄陂区李家集街道党员群众服务中心部门决算公开》《202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年度武汉市黄陂区李家集街道社区网格管理综合服务中心部门决算公开》《202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年度武汉市黄陂区李家集街道综合执法中心部门决算公开》《黄陂区李集街道党员群众服务中心202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年部门预算编制说明》《黄陂区李集街道社区网格服务中心202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年部门预算编制说明》《黄陂区李集街道综合执法中心202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年部门预算编制说明》《黄陂区李家集街道办事处（本级）202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年部门预算编制说明》。主要内容包括街道办事处主要职能、部门</w:t>
      </w:r>
      <w:r>
        <w:rPr>
          <w:rFonts w:hint="eastAsia" w:ascii="仿宋_GB2312" w:hAnsi="仿宋_GB2312" w:eastAsia="仿宋_GB2312" w:cs="仿宋_GB2312"/>
          <w:b w:val="0"/>
          <w:bCs w:val="0"/>
          <w:color w:val="auto"/>
          <w:sz w:val="32"/>
          <w:szCs w:val="32"/>
          <w:lang w:val="en-US" w:eastAsia="zh-CN"/>
        </w:rPr>
        <w:t>预算</w:t>
      </w:r>
      <w:r>
        <w:rPr>
          <w:rFonts w:hint="eastAsia" w:ascii="仿宋_GB2312" w:hAnsi="仿宋_GB2312" w:eastAsia="仿宋_GB2312" w:cs="仿宋_GB2312"/>
          <w:b w:val="0"/>
          <w:bCs w:val="0"/>
          <w:color w:val="auto"/>
          <w:sz w:val="32"/>
          <w:szCs w:val="32"/>
        </w:rPr>
        <w:t>决算情况说明</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CESI仿宋-GB2312" w:hAnsi="CESI仿宋-GB2312" w:eastAsia="CESI仿宋-GB2312" w:cs="CESI仿宋-GB2312"/>
          <w:color w:val="auto"/>
          <w:spacing w:val="-6"/>
          <w:sz w:val="32"/>
          <w:szCs w:val="32"/>
          <w:lang w:val="en-US" w:eastAsia="zh-CN"/>
        </w:rPr>
      </w:pPr>
      <w:r>
        <w:rPr>
          <w:rFonts w:hint="eastAsia" w:ascii="楷体" w:hAnsi="楷体" w:eastAsia="楷体" w:cs="楷体"/>
          <w:b/>
          <w:bCs/>
          <w:color w:val="auto"/>
          <w:kern w:val="0"/>
          <w:sz w:val="32"/>
          <w:szCs w:val="32"/>
          <w:lang w:val="en-US" w:eastAsia="zh-CN" w:bidi="ar"/>
        </w:rPr>
        <w:t>3、扎实做好行政执法工作。</w:t>
      </w:r>
      <w:r>
        <w:rPr>
          <w:rFonts w:hint="eastAsia" w:ascii="CESI仿宋-GB2312" w:hAnsi="CESI仿宋-GB2312" w:eastAsia="CESI仿宋-GB2312" w:cs="CESI仿宋-GB2312"/>
          <w:color w:val="auto"/>
          <w:spacing w:val="-6"/>
          <w:sz w:val="32"/>
          <w:szCs w:val="32"/>
          <w:lang w:val="en-US" w:eastAsia="zh-CN"/>
        </w:rPr>
        <w:t>2024年，李家集街综合执法中心实施行政许可中，许可数量98宗；实施行政处罚共计34宗，实施行政强制0宗；产生行政事业性收费0元。</w:t>
      </w:r>
    </w:p>
    <w:tbl>
      <w:tblPr>
        <w:tblStyle w:val="4"/>
        <w:tblpPr w:leftFromText="180" w:rightFromText="180" w:vertAnchor="text" w:horzAnchor="page" w:tblpX="1624" w:tblpY="29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52"/>
        <w:gridCol w:w="2153"/>
        <w:gridCol w:w="2155"/>
        <w:gridCol w:w="2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1249"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规章</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Calibri" w:hAnsi="Calibri" w:eastAsia="宋体" w:cs="Calibri"/>
                <w:color w:val="auto"/>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Calibri" w:hAnsi="Calibri" w:eastAsia="宋体" w:cs="Calibri"/>
                <w:color w:val="auto"/>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Calibri" w:hAnsi="Calibri" w:eastAsia="宋体" w:cs="Calibri"/>
                <w:color w:val="auto"/>
                <w:kern w:val="2"/>
                <w:sz w:val="21"/>
                <w:szCs w:val="21"/>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rPr>
          <w:rFonts w:hint="eastAsia"/>
          <w:color w:val="auto"/>
        </w:rPr>
      </w:pPr>
    </w:p>
    <w:p>
      <w:pP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br w:type="page"/>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收到和处理政府信息公开申请情况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2024年，街道未收到和处理政府信息公开申请。</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69"/>
        <w:gridCol w:w="818"/>
        <w:gridCol w:w="2914"/>
        <w:gridCol w:w="608"/>
        <w:gridCol w:w="608"/>
        <w:gridCol w:w="608"/>
        <w:gridCol w:w="608"/>
        <w:gridCol w:w="608"/>
        <w:gridCol w:w="615"/>
        <w:gridCol w:w="6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auto"/>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881" w:hRule="atLeast"/>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auto"/>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auto"/>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auto"/>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街道未有</w:t>
      </w:r>
      <w:r>
        <w:rPr>
          <w:rFonts w:hint="eastAsia" w:ascii="仿宋_GB2312" w:hAnsi="仿宋_GB2312" w:eastAsia="仿宋_GB2312" w:cs="仿宋_GB2312"/>
          <w:color w:val="auto"/>
          <w:sz w:val="32"/>
          <w:szCs w:val="32"/>
          <w:lang w:val="en-US" w:eastAsia="zh-CN"/>
        </w:rPr>
        <w:t>因</w:t>
      </w:r>
      <w:r>
        <w:rPr>
          <w:rFonts w:hint="eastAsia" w:ascii="仿宋_GB2312" w:hAnsi="仿宋_GB2312" w:eastAsia="仿宋_GB2312" w:cs="仿宋_GB2312"/>
          <w:color w:val="auto"/>
          <w:sz w:val="32"/>
          <w:szCs w:val="32"/>
        </w:rPr>
        <w:t>政府信息公开申请行政复议及提起行政诉讼</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情况。没有收到政府信息公开申请、也没有</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公开行政复议、行政诉讼等情况。</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8"/>
        <w:gridCol w:w="578"/>
        <w:gridCol w:w="579"/>
        <w:gridCol w:w="579"/>
        <w:gridCol w:w="588"/>
        <w:gridCol w:w="579"/>
        <w:gridCol w:w="579"/>
        <w:gridCol w:w="581"/>
        <w:gridCol w:w="581"/>
        <w:gridCol w:w="586"/>
        <w:gridCol w:w="581"/>
        <w:gridCol w:w="581"/>
        <w:gridCol w:w="581"/>
        <w:gridCol w:w="581"/>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bookmarkStart w:id="0" w:name="OLE_LINK1"/>
            <w:r>
              <w:rPr>
                <w:rFonts w:hint="eastAsia" w:ascii="宋体" w:hAnsi="宋体" w:eastAsia="宋体" w:cs="宋体"/>
                <w:color w:val="auto"/>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auto"/>
                <w:lang w:val="en-US"/>
              </w:rPr>
            </w:pPr>
            <w:r>
              <w:rPr>
                <w:rFonts w:ascii="黑体" w:hAnsi="宋体" w:eastAsia="黑体" w:cs="黑体"/>
                <w:color w:val="auto"/>
                <w:kern w:val="2"/>
                <w:sz w:val="20"/>
                <w:szCs w:val="20"/>
                <w:lang w:val="en-US" w:eastAsia="zh-CN" w:bidi="ar"/>
              </w:rPr>
              <w:t> </w:t>
            </w: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auto"/>
                <w:lang w:val="en-US"/>
              </w:rPr>
            </w:pP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黑体" w:hAnsi="宋体" w:eastAsia="黑体" w:cs="黑体"/>
                <w:color w:val="auto"/>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1"/>
                <w:szCs w:val="21"/>
              </w:rPr>
            </w:pPr>
            <w:r>
              <w:rPr>
                <w:rFonts w:hint="eastAsia" w:ascii="黑体" w:hAnsi="宋体" w:eastAsia="黑体" w:cs="黑体"/>
                <w:color w:val="auto"/>
                <w:kern w:val="2"/>
                <w:sz w:val="20"/>
                <w:szCs w:val="20"/>
                <w:lang w:val="en-US" w:eastAsia="zh-CN" w:bidi="ar"/>
              </w:rPr>
              <w:t>0</w:t>
            </w:r>
          </w:p>
        </w:tc>
      </w:tr>
      <w:bookmarkEnd w:id="0"/>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来，街道扎实开展政府信息公开工作，但也存在一些不足：如部分信息公开内容深度不够，解读形式单一；基层信息公开人员业务能力参差不齐，影响公开工作质量。在接下来的工作中，我们将加强信息审核把关，强化部门沟通协调，提升办理效率与服务质量，加大培训力度，定期组织业务培训与交流活动，提升工作人员专业素养与业务水平，推动政府信息公开工作再上新台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六、其他需要报告的事项</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无其他需要报告的事项。</w:t>
      </w:r>
    </w:p>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C7FB8-8497-4E1D-A42C-BA59C3AA5C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8E5066-6735-42DA-BB3A-244CC8AF751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2B31CF7-0846-4B50-9624-179F9172307C}"/>
  </w:font>
  <w:font w:name="楷体">
    <w:panose1 w:val="02010609060101010101"/>
    <w:charset w:val="86"/>
    <w:family w:val="auto"/>
    <w:pitch w:val="default"/>
    <w:sig w:usb0="800002BF" w:usb1="38CF7CFA" w:usb2="00000016" w:usb3="00000000" w:csb0="00040001" w:csb1="00000000"/>
    <w:embedRegular r:id="rId4" w:fontKey="{81AF1388-D488-4D46-9AB3-668C1B31B6EB}"/>
  </w:font>
  <w:font w:name="仿宋">
    <w:panose1 w:val="02010609060101010101"/>
    <w:charset w:val="86"/>
    <w:family w:val="auto"/>
    <w:pitch w:val="default"/>
    <w:sig w:usb0="800002BF" w:usb1="38CF7CFA" w:usb2="00000016" w:usb3="00000000" w:csb0="00040001" w:csb1="00000000"/>
    <w:embedRegular r:id="rId5" w:fontKey="{550ECF37-31AA-4448-91D1-1C3BE177579B}"/>
  </w:font>
  <w:font w:name="CESI仿宋-GB2312">
    <w:altName w:val="仿宋"/>
    <w:panose1 w:val="02000500000000000000"/>
    <w:charset w:val="86"/>
    <w:family w:val="auto"/>
    <w:pitch w:val="default"/>
    <w:sig w:usb0="00000000" w:usb1="00000000" w:usb2="00000010" w:usb3="00000000" w:csb0="0004000F" w:csb1="00000000"/>
    <w:embedRegular r:id="rId6" w:fontKey="{FB5FC4DB-99CC-4BB3-B10A-2CF78CD3F2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zI3M2Y5NGU0NTM2MzU5NjUxODZjNGVhMWZlOGIifQ=="/>
  </w:docVars>
  <w:rsids>
    <w:rsidRoot w:val="30462AB9"/>
    <w:rsid w:val="30462AB9"/>
    <w:rsid w:val="3B5F40A8"/>
    <w:rsid w:val="63DB17B0"/>
    <w:rsid w:val="740A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2025-01-10T01:02:00Z</dcterms:created>
  <dc:creator>一粒玉米粒</dc:creator>
  <cp:lastModifiedBy>一粒玉米粒</cp:lastModifiedBy>
  <dcterms:modified xsi:type="dcterms:W3CDTF">2025-01-10T01:57:36Z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D3E6AFDC1DCA4C63BBFD6DE3BB76588D_13</vt:lpwstr>
  </property>
  <property fmtid="{D5CDD505-2E9C-101B-9397-08002B2CF9AE}" pid="4" name="KSOTemplateDocerSaveRecord">
    <vt:lpwstr>eyJoZGlkIjoiYjdjMmEzZmM1YzFlYTkzNzQ2YmJkYmY4NDc3NjNiNTUiLCJ1c2VySWQiOiIyNzE5Mzk4NDAifQ==</vt:lpwstr>
  </property>
</Properties>
</file>