
<file path=[Content_Types].xml><?xml version="1.0" encoding="utf-8"?>
<Types xmlns="http://schemas.openxmlformats.org/package/2006/content-types">
  <Default Extension="xls" ContentType="application/vnd.ms-excel"/>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jc w:val="both"/>
      </w:pPr>
      <w:r>
        <w:rPr>
          <w:rFonts w:ascii="Calibri" w:hAnsi="Calibri" w:eastAsia="黑体" w:cs="Calibri"/>
          <w:color w:val="000000"/>
          <w:sz w:val="48"/>
          <w:szCs w:val="48"/>
        </w:rPr>
        <w:t> </w:t>
      </w:r>
    </w:p>
    <w:p>
      <w:pPr>
        <w:adjustRightInd w:val="0"/>
        <w:snapToGrid w:val="0"/>
        <w:spacing w:line="560" w:lineRule="atLeast"/>
        <w:jc w:val="both"/>
      </w:pPr>
      <w:r>
        <w:rPr>
          <w:rFonts w:ascii="Calibri" w:hAnsi="Calibri" w:eastAsia="黑体" w:cs="Calibri"/>
          <w:color w:val="000000"/>
          <w:sz w:val="48"/>
          <w:szCs w:val="48"/>
        </w:rPr>
        <w:t> </w:t>
      </w:r>
    </w:p>
    <w:p>
      <w:pPr>
        <w:adjustRightInd w:val="0"/>
        <w:snapToGrid w:val="0"/>
        <w:spacing w:line="560" w:lineRule="atLeast"/>
        <w:jc w:val="both"/>
      </w:pPr>
      <w:r>
        <w:rPr>
          <w:rFonts w:ascii="Calibri" w:hAnsi="Calibri" w:eastAsia="黑体" w:cs="Calibri"/>
          <w:color w:val="000000"/>
          <w:sz w:val="48"/>
          <w:szCs w:val="48"/>
        </w:rPr>
        <w:t> </w:t>
      </w:r>
    </w:p>
    <w:p>
      <w:pPr>
        <w:adjustRightInd w:val="0"/>
        <w:snapToGrid w:val="0"/>
        <w:spacing w:line="560" w:lineRule="atLeast"/>
        <w:jc w:val="both"/>
        <w:rPr>
          <w:rFonts w:ascii="Calibri" w:hAnsi="Calibri" w:eastAsia="黑体" w:cs="Calibri"/>
          <w:color w:val="000000"/>
          <w:sz w:val="48"/>
          <w:szCs w:val="48"/>
        </w:rPr>
      </w:pPr>
      <w:r>
        <w:rPr>
          <w:rFonts w:ascii="Calibri" w:hAnsi="Calibri" w:eastAsia="黑体" w:cs="Calibri"/>
          <w:color w:val="000000"/>
          <w:sz w:val="48"/>
          <w:szCs w:val="48"/>
        </w:rPr>
        <w:t> </w:t>
      </w:r>
    </w:p>
    <w:p>
      <w:pPr>
        <w:adjustRightInd w:val="0"/>
        <w:snapToGrid w:val="0"/>
        <w:spacing w:line="560" w:lineRule="atLeast"/>
        <w:jc w:val="both"/>
        <w:rPr>
          <w:rFonts w:ascii="Calibri" w:hAnsi="Calibri" w:eastAsia="黑体" w:cs="Calibri"/>
          <w:color w:val="000000"/>
          <w:sz w:val="48"/>
          <w:szCs w:val="48"/>
        </w:rPr>
      </w:pPr>
    </w:p>
    <w:p>
      <w:pPr>
        <w:adjustRightInd w:val="0"/>
        <w:snapToGrid w:val="0"/>
        <w:spacing w:line="560" w:lineRule="atLeast"/>
        <w:jc w:val="both"/>
      </w:pPr>
    </w:p>
    <w:p>
      <w:pPr>
        <w:adjustRightInd w:val="0"/>
        <w:snapToGrid w:val="0"/>
        <w:spacing w:line="560" w:lineRule="atLeast"/>
        <w:jc w:val="center"/>
      </w:pPr>
      <w:r>
        <w:rPr>
          <w:rFonts w:hint="eastAsia" w:ascii="黑体" w:hAnsi="黑体" w:eastAsia="黑体"/>
          <w:color w:val="000000"/>
          <w:sz w:val="48"/>
          <w:szCs w:val="48"/>
        </w:rPr>
        <w:t>2018年度</w:t>
      </w:r>
      <w:r>
        <w:rPr>
          <w:rStyle w:val="10"/>
          <w:rFonts w:hint="eastAsia" w:ascii="黑体" w:hAnsi="Times New Roman" w:eastAsia="黑体"/>
          <w:sz w:val="48"/>
          <w:szCs w:val="48"/>
        </w:rPr>
        <w:t>武汉市黄陂区滠口街道办事处</w:t>
      </w:r>
      <w:r>
        <w:rPr>
          <w:rStyle w:val="10"/>
          <w:rFonts w:hint="eastAsia" w:ascii="黑体" w:hAnsi="黑体" w:eastAsia="黑体"/>
          <w:color w:val="000000"/>
          <w:sz w:val="48"/>
          <w:szCs w:val="48"/>
        </w:rPr>
        <w:t>部门决算</w:t>
      </w: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p>
    <w:p>
      <w:pPr>
        <w:adjustRightInd w:val="0"/>
        <w:snapToGrid w:val="0"/>
        <w:spacing w:line="560" w:lineRule="atLeast"/>
        <w:jc w:val="center"/>
      </w:pPr>
      <w:r>
        <w:rPr>
          <w:rFonts w:hint="eastAsia" w:ascii="仿宋_GB2312" w:eastAsia="仿宋_GB2312"/>
          <w:color w:val="000000"/>
          <w:sz w:val="32"/>
          <w:szCs w:val="32"/>
        </w:rPr>
        <w:t>2019年10月15日</w:t>
      </w:r>
    </w:p>
    <w:p>
      <w:pPr>
        <w:adjustRightInd w:val="0"/>
        <w:snapToGrid w:val="0"/>
        <w:spacing w:line="360" w:lineRule="auto"/>
        <w:jc w:val="center"/>
      </w:pPr>
    </w:p>
    <w:p>
      <w:pPr>
        <w:snapToGrid w:val="0"/>
        <w:jc w:val="center"/>
      </w:pPr>
    </w:p>
    <w:p>
      <w:pPr>
        <w:snapToGrid w:val="0"/>
        <w:jc w:val="center"/>
      </w:pPr>
    </w:p>
    <w:p>
      <w:pPr>
        <w:snapToGrid w:val="0"/>
        <w:jc w:val="center"/>
      </w:pPr>
    </w:p>
    <w:p>
      <w:pPr>
        <w:snapToGrid w:val="0"/>
        <w:jc w:val="center"/>
      </w:pPr>
    </w:p>
    <w:p>
      <w:pPr>
        <w:pStyle w:val="2"/>
        <w:snapToGrid w:val="0"/>
        <w:spacing w:before="0" w:beforeAutospacing="0" w:after="0" w:afterAutospacing="0"/>
        <w:jc w:val="center"/>
      </w:pPr>
      <w:r>
        <w:rPr>
          <w:rFonts w:hint="eastAsia" w:ascii="黑体" w:hAnsi="Times New Roman" w:eastAsia="黑体"/>
          <w:b w:val="0"/>
          <w:bCs w:val="0"/>
          <w:szCs w:val="44"/>
        </w:rPr>
        <w:t>目    录</w:t>
      </w:r>
    </w:p>
    <w:p>
      <w:pPr>
        <w:adjustRightInd w:val="0"/>
        <w:snapToGrid w:val="0"/>
        <w:spacing w:line="580" w:lineRule="atLeast"/>
        <w:ind w:firstLine="640" w:firstLineChars="200"/>
        <w:jc w:val="both"/>
      </w:pPr>
      <w:r>
        <w:rPr>
          <w:rFonts w:hint="eastAsia" w:ascii="黑体" w:eastAsia="黑体"/>
          <w:bCs/>
          <w:sz w:val="32"/>
          <w:szCs w:val="32"/>
        </w:rPr>
        <w:t xml:space="preserve">第一部分  </w:t>
      </w:r>
      <w:r>
        <w:rPr>
          <w:rStyle w:val="10"/>
          <w:rFonts w:hint="eastAsia" w:ascii="黑体" w:eastAsia="黑体"/>
          <w:bCs/>
          <w:sz w:val="32"/>
          <w:szCs w:val="32"/>
        </w:rPr>
        <w:t>武汉市黄陂区滠口街道办事处</w:t>
      </w:r>
      <w:r>
        <w:rPr>
          <w:rFonts w:hint="eastAsia" w:ascii="黑体" w:eastAsia="黑体"/>
          <w:bCs/>
          <w:sz w:val="32"/>
          <w:szCs w:val="32"/>
        </w:rPr>
        <w:t>概况</w:t>
      </w:r>
    </w:p>
    <w:p>
      <w:pPr>
        <w:adjustRightInd w:val="0"/>
        <w:snapToGrid w:val="0"/>
        <w:spacing w:line="580" w:lineRule="atLeast"/>
        <w:ind w:firstLine="640" w:firstLineChars="200"/>
        <w:jc w:val="both"/>
      </w:pPr>
      <w:r>
        <w:rPr>
          <w:rFonts w:hint="eastAsia" w:ascii="仿宋_GB2312" w:eastAsia="仿宋_GB2312" w:cs="仿宋_GB2312"/>
          <w:color w:val="000000"/>
          <w:sz w:val="32"/>
          <w:szCs w:val="32"/>
        </w:rPr>
        <w:t>一、部门主要职能</w:t>
      </w:r>
    </w:p>
    <w:p>
      <w:pPr>
        <w:adjustRightInd w:val="0"/>
        <w:snapToGrid w:val="0"/>
        <w:spacing w:line="580" w:lineRule="atLeast"/>
        <w:ind w:firstLine="640" w:firstLineChars="200"/>
        <w:jc w:val="both"/>
      </w:pPr>
      <w:r>
        <w:rPr>
          <w:rFonts w:hint="eastAsia" w:ascii="仿宋_GB2312" w:eastAsia="仿宋_GB2312" w:cs="仿宋_GB2312"/>
          <w:color w:val="000000"/>
          <w:sz w:val="32"/>
          <w:szCs w:val="32"/>
        </w:rPr>
        <w:t>二、部门决算单位构成</w:t>
      </w:r>
    </w:p>
    <w:p>
      <w:pPr>
        <w:adjustRightInd w:val="0"/>
        <w:snapToGrid w:val="0"/>
        <w:spacing w:line="580" w:lineRule="atLeast"/>
        <w:ind w:firstLine="640" w:firstLineChars="200"/>
        <w:jc w:val="both"/>
      </w:pPr>
      <w:r>
        <w:rPr>
          <w:rFonts w:hint="eastAsia" w:ascii="仿宋_GB2312" w:eastAsia="仿宋_GB2312" w:cs="仿宋_GB2312"/>
          <w:color w:val="000000"/>
          <w:sz w:val="32"/>
          <w:szCs w:val="32"/>
        </w:rPr>
        <w:t>三、部门人员构成</w:t>
      </w:r>
    </w:p>
    <w:p>
      <w:pPr>
        <w:adjustRightInd w:val="0"/>
        <w:snapToGrid w:val="0"/>
        <w:spacing w:line="580" w:lineRule="atLeast"/>
        <w:ind w:firstLine="640" w:firstLineChars="200"/>
        <w:jc w:val="both"/>
      </w:pPr>
      <w:r>
        <w:rPr>
          <w:rFonts w:hint="eastAsia" w:ascii="黑体" w:eastAsia="黑体"/>
          <w:bCs/>
          <w:sz w:val="32"/>
          <w:szCs w:val="32"/>
        </w:rPr>
        <w:t xml:space="preserve">第二部分  </w:t>
      </w:r>
      <w:r>
        <w:rPr>
          <w:rStyle w:val="10"/>
          <w:rFonts w:hint="eastAsia" w:ascii="黑体" w:eastAsia="黑体"/>
          <w:bCs/>
          <w:sz w:val="32"/>
          <w:szCs w:val="32"/>
        </w:rPr>
        <w:t>武汉市黄陂区滠口街道办事处2018</w:t>
      </w:r>
      <w:r>
        <w:rPr>
          <w:rFonts w:hint="eastAsia" w:ascii="黑体" w:eastAsia="黑体"/>
          <w:bCs/>
          <w:sz w:val="32"/>
          <w:szCs w:val="32"/>
        </w:rPr>
        <w:t>年度部门决算表</w:t>
      </w:r>
    </w:p>
    <w:p>
      <w:pPr>
        <w:adjustRightInd w:val="0"/>
        <w:snapToGrid w:val="0"/>
        <w:spacing w:line="580" w:lineRule="atLeast"/>
        <w:ind w:right="-586" w:rightChars="-244" w:firstLine="640" w:firstLineChars="200"/>
        <w:jc w:val="both"/>
      </w:pPr>
      <w:r>
        <w:rPr>
          <w:rFonts w:hint="eastAsia" w:ascii="仿宋_GB2312" w:eastAsia="仿宋_GB2312"/>
          <w:bCs/>
          <w:sz w:val="32"/>
          <w:szCs w:val="32"/>
        </w:rPr>
        <w:t>一、收入支出决算总表(表1)</w:t>
      </w:r>
    </w:p>
    <w:p>
      <w:pPr>
        <w:adjustRightInd w:val="0"/>
        <w:snapToGrid w:val="0"/>
        <w:spacing w:line="580" w:lineRule="atLeast"/>
        <w:ind w:firstLine="640" w:firstLineChars="200"/>
        <w:jc w:val="both"/>
      </w:pPr>
      <w:r>
        <w:rPr>
          <w:rFonts w:hint="eastAsia" w:ascii="仿宋_GB2312" w:eastAsia="仿宋_GB2312"/>
          <w:bCs/>
          <w:sz w:val="32"/>
          <w:szCs w:val="32"/>
        </w:rPr>
        <w:t>二、收入决算表(表2)</w:t>
      </w:r>
    </w:p>
    <w:p>
      <w:pPr>
        <w:adjustRightInd w:val="0"/>
        <w:snapToGrid w:val="0"/>
        <w:spacing w:line="580" w:lineRule="atLeast"/>
        <w:ind w:firstLine="640" w:firstLineChars="200"/>
        <w:jc w:val="both"/>
      </w:pPr>
      <w:r>
        <w:rPr>
          <w:rFonts w:hint="eastAsia" w:ascii="仿宋_GB2312" w:eastAsia="仿宋_GB2312"/>
          <w:bCs/>
          <w:sz w:val="32"/>
          <w:szCs w:val="32"/>
        </w:rPr>
        <w:t>三、支出决算表(表3)</w:t>
      </w:r>
    </w:p>
    <w:p>
      <w:pPr>
        <w:adjustRightInd w:val="0"/>
        <w:snapToGrid w:val="0"/>
        <w:spacing w:line="580" w:lineRule="atLeast"/>
        <w:ind w:firstLine="640" w:firstLineChars="200"/>
        <w:jc w:val="both"/>
      </w:pPr>
      <w:r>
        <w:rPr>
          <w:rFonts w:hint="eastAsia" w:ascii="仿宋_GB2312" w:eastAsia="仿宋_GB2312"/>
          <w:bCs/>
          <w:sz w:val="32"/>
          <w:szCs w:val="32"/>
        </w:rPr>
        <w:t>四、财政拨款收入支出决算总表(表4)</w:t>
      </w:r>
    </w:p>
    <w:p>
      <w:pPr>
        <w:adjustRightInd w:val="0"/>
        <w:snapToGrid w:val="0"/>
        <w:spacing w:line="580" w:lineRule="atLeast"/>
        <w:ind w:firstLine="640" w:firstLineChars="200"/>
        <w:jc w:val="both"/>
      </w:pPr>
      <w:r>
        <w:rPr>
          <w:rFonts w:hint="eastAsia" w:ascii="仿宋_GB2312" w:eastAsia="仿宋_GB2312"/>
          <w:bCs/>
          <w:sz w:val="32"/>
          <w:szCs w:val="32"/>
        </w:rPr>
        <w:t>五、一般公共预算财政拨款支出决算表(表5)</w:t>
      </w:r>
    </w:p>
    <w:p>
      <w:pPr>
        <w:adjustRightInd w:val="0"/>
        <w:snapToGrid w:val="0"/>
        <w:spacing w:line="580" w:lineRule="atLeast"/>
        <w:ind w:firstLine="640" w:firstLineChars="200"/>
        <w:jc w:val="both"/>
      </w:pPr>
      <w:r>
        <w:rPr>
          <w:rFonts w:hint="eastAsia" w:ascii="仿宋_GB2312" w:eastAsia="仿宋_GB2312"/>
          <w:bCs/>
          <w:sz w:val="32"/>
          <w:szCs w:val="32"/>
        </w:rPr>
        <w:t>六、一般公共预算财政拨款基本支出决算表(表6)</w:t>
      </w:r>
    </w:p>
    <w:p>
      <w:pPr>
        <w:adjustRightInd w:val="0"/>
        <w:snapToGrid w:val="0"/>
        <w:spacing w:line="580" w:lineRule="atLeast"/>
        <w:ind w:firstLine="640" w:firstLineChars="200"/>
        <w:jc w:val="both"/>
      </w:pPr>
      <w:r>
        <w:rPr>
          <w:rFonts w:hint="eastAsia" w:ascii="仿宋_GB2312" w:eastAsia="仿宋_GB2312"/>
          <w:bCs/>
          <w:sz w:val="32"/>
          <w:szCs w:val="32"/>
        </w:rPr>
        <w:t>七、一般公共预算财政拨款“三公”经费支出决算表(表7)</w:t>
      </w:r>
    </w:p>
    <w:p>
      <w:pPr>
        <w:adjustRightInd w:val="0"/>
        <w:snapToGrid w:val="0"/>
        <w:spacing w:line="580" w:lineRule="atLeast"/>
        <w:ind w:firstLine="640" w:firstLineChars="200"/>
        <w:jc w:val="both"/>
      </w:pPr>
      <w:r>
        <w:rPr>
          <w:rFonts w:hint="eastAsia" w:ascii="仿宋_GB2312" w:eastAsia="仿宋_GB2312"/>
          <w:bCs/>
          <w:sz w:val="32"/>
          <w:szCs w:val="32"/>
        </w:rPr>
        <w:t>八、政府性基金预算财政拨款收入支出决算表(表8)</w:t>
      </w:r>
    </w:p>
    <w:p>
      <w:pPr>
        <w:adjustRightInd w:val="0"/>
        <w:snapToGrid w:val="0"/>
        <w:spacing w:line="580" w:lineRule="atLeast"/>
        <w:ind w:firstLine="640" w:firstLineChars="200"/>
        <w:jc w:val="both"/>
      </w:pPr>
      <w:r>
        <w:rPr>
          <w:rFonts w:hint="eastAsia" w:ascii="黑体" w:eastAsia="黑体"/>
          <w:bCs/>
          <w:sz w:val="32"/>
          <w:szCs w:val="32"/>
        </w:rPr>
        <w:t xml:space="preserve">第三部分  </w:t>
      </w:r>
      <w:r>
        <w:rPr>
          <w:rStyle w:val="10"/>
          <w:rFonts w:hint="eastAsia" w:ascii="黑体" w:eastAsia="黑体"/>
          <w:bCs/>
          <w:sz w:val="32"/>
          <w:szCs w:val="32"/>
        </w:rPr>
        <w:t>武汉市黄陂区滠口街道办事处2018</w:t>
      </w:r>
      <w:r>
        <w:rPr>
          <w:rFonts w:hint="eastAsia" w:ascii="黑体" w:eastAsia="黑体"/>
          <w:bCs/>
          <w:sz w:val="32"/>
          <w:szCs w:val="32"/>
        </w:rPr>
        <w:t>年度部门决算情况说明</w:t>
      </w:r>
    </w:p>
    <w:p>
      <w:pPr>
        <w:pStyle w:val="9"/>
        <w:snapToGrid w:val="0"/>
        <w:spacing w:before="0" w:beforeAutospacing="0" w:after="0" w:afterAutospacing="0" w:line="580" w:lineRule="atLeast"/>
        <w:ind w:firstLine="640" w:firstLineChars="200"/>
        <w:jc w:val="both"/>
      </w:pPr>
      <w:r>
        <w:rPr>
          <w:rFonts w:hint="eastAsia"/>
          <w:sz w:val="32"/>
          <w:szCs w:val="32"/>
        </w:rPr>
        <w:t>一、收入支出决算总体情况</w:t>
      </w:r>
      <w:r>
        <w:rPr>
          <w:rFonts w:hint="eastAsia"/>
          <w:bCs/>
          <w:sz w:val="32"/>
          <w:szCs w:val="32"/>
        </w:rPr>
        <w:t>说明</w:t>
      </w:r>
      <w:r>
        <w:rPr>
          <w:rFonts w:hint="eastAsia"/>
          <w:sz w:val="32"/>
          <w:szCs w:val="32"/>
        </w:rPr>
        <w:t xml:space="preserve"> </w:t>
      </w:r>
    </w:p>
    <w:p>
      <w:pPr>
        <w:pStyle w:val="9"/>
        <w:snapToGrid w:val="0"/>
        <w:spacing w:before="0" w:beforeAutospacing="0" w:after="0" w:afterAutospacing="0" w:line="580" w:lineRule="atLeast"/>
        <w:ind w:firstLine="640" w:firstLineChars="200"/>
        <w:jc w:val="both"/>
      </w:pPr>
      <w:r>
        <w:rPr>
          <w:rFonts w:hint="eastAsia"/>
          <w:sz w:val="32"/>
          <w:szCs w:val="32"/>
        </w:rPr>
        <w:t>二、收入决算情况</w:t>
      </w:r>
      <w:r>
        <w:rPr>
          <w:rFonts w:hint="eastAsia"/>
          <w:bCs/>
          <w:sz w:val="32"/>
          <w:szCs w:val="32"/>
        </w:rPr>
        <w:t>说明</w:t>
      </w:r>
    </w:p>
    <w:p>
      <w:pPr>
        <w:pStyle w:val="9"/>
        <w:snapToGrid w:val="0"/>
        <w:spacing w:before="0" w:beforeAutospacing="0" w:after="0" w:afterAutospacing="0" w:line="580" w:lineRule="atLeast"/>
        <w:ind w:firstLine="640" w:firstLineChars="200"/>
        <w:jc w:val="both"/>
      </w:pPr>
      <w:r>
        <w:rPr>
          <w:rFonts w:hint="eastAsia"/>
          <w:sz w:val="32"/>
          <w:szCs w:val="32"/>
        </w:rPr>
        <w:t>三、支出决算情况</w:t>
      </w:r>
      <w:r>
        <w:rPr>
          <w:rFonts w:hint="eastAsia"/>
          <w:bCs/>
          <w:sz w:val="32"/>
          <w:szCs w:val="32"/>
        </w:rPr>
        <w:t>说明</w:t>
      </w:r>
    </w:p>
    <w:p>
      <w:pPr>
        <w:pStyle w:val="9"/>
        <w:snapToGrid w:val="0"/>
        <w:spacing w:before="0" w:beforeAutospacing="0" w:after="0" w:afterAutospacing="0" w:line="580" w:lineRule="atLeast"/>
        <w:ind w:firstLine="640" w:firstLineChars="200"/>
        <w:jc w:val="both"/>
      </w:pPr>
      <w:r>
        <w:rPr>
          <w:rFonts w:hint="eastAsia"/>
          <w:sz w:val="32"/>
          <w:szCs w:val="32"/>
        </w:rPr>
        <w:t>四、</w:t>
      </w:r>
      <w:r>
        <w:rPr>
          <w:rFonts w:hint="eastAsia"/>
          <w:bCs/>
          <w:sz w:val="32"/>
          <w:szCs w:val="32"/>
        </w:rPr>
        <w:t>财政拨款收入支出决算总体情况说明</w:t>
      </w:r>
    </w:p>
    <w:p>
      <w:pPr>
        <w:pStyle w:val="9"/>
        <w:snapToGrid w:val="0"/>
        <w:spacing w:before="0" w:beforeAutospacing="0" w:after="0" w:afterAutospacing="0" w:line="580" w:lineRule="atLeast"/>
        <w:ind w:firstLine="640" w:firstLineChars="200"/>
        <w:jc w:val="both"/>
      </w:pPr>
      <w:r>
        <w:rPr>
          <w:rFonts w:hint="eastAsia"/>
          <w:bCs/>
          <w:sz w:val="32"/>
          <w:szCs w:val="32"/>
        </w:rPr>
        <w:t>五、一般公共预算财政拨款支出决算情况说明</w:t>
      </w:r>
    </w:p>
    <w:p>
      <w:pPr>
        <w:pStyle w:val="9"/>
        <w:snapToGrid w:val="0"/>
        <w:spacing w:before="0" w:beforeAutospacing="0" w:after="0" w:afterAutospacing="0" w:line="580" w:lineRule="atLeast"/>
        <w:ind w:firstLine="640" w:firstLineChars="200"/>
        <w:jc w:val="both"/>
      </w:pPr>
      <w:r>
        <w:rPr>
          <w:rFonts w:hint="eastAsia"/>
          <w:sz w:val="32"/>
          <w:szCs w:val="32"/>
        </w:rPr>
        <w:t>六、</w:t>
      </w:r>
      <w:r>
        <w:rPr>
          <w:rFonts w:hint="eastAsia"/>
          <w:bCs/>
          <w:sz w:val="32"/>
          <w:szCs w:val="32"/>
        </w:rPr>
        <w:t>一般公共预算财政拨款基本支出决算</w:t>
      </w:r>
      <w:r>
        <w:rPr>
          <w:rFonts w:hint="eastAsia"/>
          <w:sz w:val="32"/>
          <w:szCs w:val="32"/>
        </w:rPr>
        <w:t>情况</w:t>
      </w:r>
      <w:r>
        <w:rPr>
          <w:rFonts w:hint="eastAsia"/>
          <w:bCs/>
          <w:sz w:val="32"/>
          <w:szCs w:val="32"/>
        </w:rPr>
        <w:t>说明</w:t>
      </w:r>
    </w:p>
    <w:p>
      <w:pPr>
        <w:pStyle w:val="9"/>
        <w:snapToGrid w:val="0"/>
        <w:spacing w:before="0" w:beforeAutospacing="0" w:after="0" w:afterAutospacing="0" w:line="580" w:lineRule="atLeast"/>
        <w:ind w:firstLine="640" w:firstLineChars="200"/>
        <w:jc w:val="both"/>
      </w:pPr>
      <w:r>
        <w:rPr>
          <w:rFonts w:hint="eastAsia"/>
          <w:sz w:val="32"/>
          <w:szCs w:val="32"/>
        </w:rPr>
        <w:t>七、</w:t>
      </w:r>
      <w:r>
        <w:rPr>
          <w:rFonts w:hint="eastAsia" w:cs="Times New Roman"/>
          <w:sz w:val="32"/>
          <w:szCs w:val="32"/>
        </w:rPr>
        <w:t>一般公共预算财政拨款“三公</w:t>
      </w:r>
      <w:r>
        <w:rPr>
          <w:rFonts w:hint="eastAsia" w:cs="仿宋"/>
          <w:sz w:val="32"/>
          <w:szCs w:val="32"/>
        </w:rPr>
        <w:t>”</w:t>
      </w:r>
      <w:r>
        <w:rPr>
          <w:rFonts w:hint="eastAsia"/>
          <w:sz w:val="32"/>
          <w:szCs w:val="32"/>
        </w:rPr>
        <w:t>经费支出决算情况</w:t>
      </w:r>
      <w:r>
        <w:rPr>
          <w:rFonts w:hint="eastAsia"/>
          <w:bCs/>
          <w:sz w:val="32"/>
          <w:szCs w:val="32"/>
        </w:rPr>
        <w:t>说明</w:t>
      </w:r>
      <w:r>
        <w:rPr>
          <w:rFonts w:hint="eastAsia"/>
          <w:sz w:val="32"/>
          <w:szCs w:val="32"/>
        </w:rPr>
        <w:t xml:space="preserve"> </w:t>
      </w:r>
    </w:p>
    <w:p>
      <w:pPr>
        <w:pStyle w:val="9"/>
        <w:snapToGrid w:val="0"/>
        <w:spacing w:before="0" w:beforeAutospacing="0" w:after="0" w:afterAutospacing="0" w:line="580" w:lineRule="atLeast"/>
        <w:ind w:firstLine="640" w:firstLineChars="200"/>
        <w:jc w:val="both"/>
      </w:pPr>
      <w:r>
        <w:rPr>
          <w:rFonts w:hint="eastAsia"/>
          <w:sz w:val="32"/>
          <w:szCs w:val="32"/>
        </w:rPr>
        <w:t>八、政府性基金预算财政拨款收入支出决算情况</w:t>
      </w:r>
      <w:r>
        <w:rPr>
          <w:rFonts w:hint="eastAsia"/>
          <w:bCs/>
          <w:sz w:val="32"/>
          <w:szCs w:val="32"/>
        </w:rPr>
        <w:t>说明</w:t>
      </w:r>
    </w:p>
    <w:p>
      <w:pPr>
        <w:pStyle w:val="9"/>
        <w:snapToGrid w:val="0"/>
        <w:spacing w:before="0" w:beforeAutospacing="0" w:after="0" w:afterAutospacing="0" w:line="580" w:lineRule="atLeast"/>
        <w:ind w:firstLine="640" w:firstLineChars="200"/>
        <w:jc w:val="both"/>
      </w:pPr>
      <w:r>
        <w:rPr>
          <w:rFonts w:hint="eastAsia"/>
          <w:sz w:val="32"/>
          <w:szCs w:val="32"/>
        </w:rPr>
        <w:t>九、关于2018年度预算绩效情况说明</w:t>
      </w:r>
    </w:p>
    <w:p>
      <w:pPr>
        <w:adjustRightInd w:val="0"/>
        <w:snapToGrid w:val="0"/>
        <w:spacing w:line="580" w:lineRule="atLeast"/>
        <w:ind w:firstLine="640" w:firstLineChars="200"/>
        <w:jc w:val="both"/>
      </w:pPr>
      <w:r>
        <w:rPr>
          <w:rFonts w:hint="eastAsia" w:ascii="仿宋_GB2312" w:eastAsia="仿宋_GB2312" w:cs="仿宋_GB2312"/>
          <w:sz w:val="32"/>
          <w:szCs w:val="32"/>
        </w:rPr>
        <w:t>十、</w:t>
      </w:r>
      <w:r>
        <w:rPr>
          <w:rFonts w:hint="eastAsia" w:ascii="仿宋_GB2312" w:eastAsia="仿宋_GB2312" w:cs="仿宋_GB2312"/>
          <w:color w:val="000000"/>
          <w:sz w:val="32"/>
          <w:szCs w:val="32"/>
        </w:rPr>
        <w:t>其他重要事项的情况</w:t>
      </w:r>
      <w:r>
        <w:rPr>
          <w:rFonts w:hint="eastAsia" w:ascii="仿宋_GB2312" w:eastAsia="仿宋_GB2312"/>
          <w:bCs/>
          <w:sz w:val="32"/>
          <w:szCs w:val="32"/>
        </w:rPr>
        <w:t>说明</w:t>
      </w:r>
    </w:p>
    <w:p>
      <w:pPr>
        <w:adjustRightInd w:val="0"/>
        <w:snapToGrid w:val="0"/>
        <w:spacing w:line="580" w:lineRule="atLeast"/>
        <w:ind w:firstLine="640" w:firstLineChars="200"/>
        <w:jc w:val="both"/>
      </w:pPr>
      <w:r>
        <w:rPr>
          <w:rFonts w:hint="eastAsia" w:ascii="黑体" w:eastAsia="黑体"/>
          <w:bCs/>
          <w:sz w:val="32"/>
          <w:szCs w:val="32"/>
        </w:rPr>
        <w:t>第四部分  2018年重点工作完成情况</w:t>
      </w:r>
    </w:p>
    <w:p>
      <w:pPr>
        <w:adjustRightInd w:val="0"/>
        <w:snapToGrid w:val="0"/>
        <w:spacing w:line="580" w:lineRule="atLeast"/>
        <w:ind w:firstLine="640" w:firstLineChars="200"/>
        <w:jc w:val="both"/>
      </w:pPr>
      <w:r>
        <w:rPr>
          <w:rFonts w:hint="eastAsia" w:ascii="黑体" w:eastAsia="黑体"/>
          <w:bCs/>
          <w:sz w:val="32"/>
          <w:szCs w:val="32"/>
        </w:rPr>
        <w:t>第五部分  名词解释</w:t>
      </w:r>
    </w:p>
    <w:p>
      <w:pPr>
        <w:snapToGrid w:val="0"/>
        <w:spacing w:line="600" w:lineRule="atLeast"/>
        <w:ind w:right="24"/>
        <w:jc w:val="both"/>
      </w:pPr>
      <w:r>
        <w:rPr>
          <w:rFonts w:hint="eastAsia" w:ascii="仿宋_GB2312" w:eastAsia="仿宋_GB2312"/>
          <w:sz w:val="32"/>
          <w:szCs w:val="20"/>
        </w:rPr>
        <w:t> </w:t>
      </w:r>
    </w:p>
    <w:p>
      <w:pPr>
        <w:snapToGrid w:val="0"/>
        <w:jc w:val="both"/>
      </w:pPr>
      <w:r>
        <w:rPr>
          <w:rFonts w:hint="eastAsia"/>
        </w:rPr>
        <w:t xml:space="preserve">  </w:t>
      </w:r>
    </w:p>
    <w:p>
      <w:pPr>
        <w:pStyle w:val="2"/>
        <w:snapToGrid w:val="0"/>
        <w:spacing w:before="0" w:beforeAutospacing="0" w:after="0" w:afterAutospacing="0"/>
        <w:jc w:val="both"/>
      </w:pPr>
      <w:r>
        <w:rPr>
          <w:rFonts w:hint="eastAsia" w:ascii="Times New Roman" w:hAnsi="Times New Roman"/>
        </w:rPr>
        <w:t>第一部分</w:t>
      </w:r>
      <w:r>
        <w:rPr>
          <w:rFonts w:hint="eastAsia"/>
        </w:rPr>
        <w:t xml:space="preserve">  </w:t>
      </w:r>
      <w:r>
        <w:rPr>
          <w:rStyle w:val="10"/>
          <w:rFonts w:hint="eastAsia"/>
        </w:rPr>
        <w:t>武汉市黄陂区滠口街道办事处</w:t>
      </w:r>
      <w:r>
        <w:rPr>
          <w:rFonts w:hint="eastAsia" w:ascii="Times New Roman" w:hAnsi="Times New Roman"/>
        </w:rPr>
        <w:t>概况</w:t>
      </w:r>
    </w:p>
    <w:p>
      <w:pPr>
        <w:adjustRightInd w:val="0"/>
        <w:snapToGrid w:val="0"/>
        <w:spacing w:line="580" w:lineRule="atLeast"/>
        <w:ind w:firstLine="640" w:firstLineChars="200"/>
        <w:jc w:val="both"/>
      </w:pPr>
      <w:r>
        <w:rPr>
          <w:rFonts w:hint="eastAsia" w:ascii="黑体" w:hAnsi="黑体" w:eastAsia="黑体"/>
          <w:sz w:val="32"/>
          <w:szCs w:val="32"/>
        </w:rPr>
        <w:t>一、部门主要职能</w:t>
      </w:r>
    </w:p>
    <w:p>
      <w:pPr>
        <w:pStyle w:val="5"/>
        <w:spacing w:before="0" w:beforeAutospacing="0" w:after="0" w:afterAutospacing="0" w:line="520" w:lineRule="exact"/>
        <w:ind w:firstLine="800" w:firstLineChars="250"/>
        <w:rPr>
          <w:rFonts w:ascii="仿宋_GB2312" w:hAnsi="Times New Roman" w:eastAsia="仿宋_GB2312" w:cs="Times New Roman"/>
          <w:sz w:val="32"/>
          <w:szCs w:val="32"/>
        </w:rPr>
      </w:pPr>
      <w:r>
        <w:rPr>
          <w:rFonts w:hint="eastAsia" w:ascii="仿宋_GB2312" w:eastAsia="仿宋_GB2312"/>
          <w:sz w:val="32"/>
          <w:szCs w:val="32"/>
        </w:rPr>
        <w:t>1、全面贯彻党的路线、方针、政策和国家的法律、法规，围绕全区经济和社会发展及区委、区政府的中心工作，搞好社区(村)服务，发展街道经济，带领群众搞好两个文明建设，指导居（村）委会开展工作。</w:t>
      </w:r>
    </w:p>
    <w:p>
      <w:pPr>
        <w:spacing w:line="520" w:lineRule="exact"/>
        <w:rPr>
          <w:rFonts w:ascii="仿宋_GB2312" w:hAnsi="Tahoma" w:eastAsia="仿宋_GB2312" w:cs="Tahoma"/>
          <w:sz w:val="32"/>
          <w:szCs w:val="32"/>
        </w:rPr>
      </w:pPr>
      <w:r>
        <w:rPr>
          <w:rFonts w:hint="eastAsia" w:ascii="仿宋_GB2312" w:eastAsia="仿宋_GB2312"/>
          <w:sz w:val="32"/>
          <w:szCs w:val="32"/>
        </w:rPr>
        <w:t xml:space="preserve">     2、负责辖区社会稳定，搞好社会治安综合治理管理工作，组织实施普法教育，搞好司法和法律服务，加强民族宗教管理，维护民族团结，按照“属地管理”的原则，做好民事调解，组织社会治安联防，落实民政政策，妥善处理好下岗职工及各种人员的来信来访；健全双拥工作机构，做好双拥宣传，增强全民国防建设和双拥观念，搞好兵役登记，征兵及民兵训练，发动和组织民兵参加两个文明建设，促进社区服务，组织防汛、抢险和救灾工作。</w:t>
      </w:r>
    </w:p>
    <w:p>
      <w:pPr>
        <w:spacing w:line="520" w:lineRule="exact"/>
        <w:ind w:firstLine="435"/>
        <w:rPr>
          <w:rFonts w:ascii="仿宋_GB2312" w:eastAsia="仿宋_GB2312"/>
          <w:sz w:val="32"/>
          <w:szCs w:val="32"/>
        </w:rPr>
      </w:pPr>
      <w:r>
        <w:rPr>
          <w:rFonts w:hint="eastAsia" w:ascii="仿宋_GB2312" w:eastAsia="仿宋_GB2312"/>
          <w:sz w:val="32"/>
          <w:szCs w:val="32"/>
        </w:rPr>
        <w:t>3、负责办事处基层组织建设。开展党员干部、居民管理、教育、组织发展等党务，做好纪检工作和思想政治工作；负责街区党支部、团支部、居(村)委会、妇代会、残联、老协等基层组织建设和作风建设，并充分发挥其作用。</w:t>
      </w:r>
    </w:p>
    <w:p>
      <w:pPr>
        <w:spacing w:line="520" w:lineRule="exact"/>
        <w:ind w:firstLine="435"/>
        <w:rPr>
          <w:rFonts w:ascii="仿宋_GB2312" w:eastAsia="仿宋_GB2312"/>
          <w:sz w:val="32"/>
          <w:szCs w:val="32"/>
        </w:rPr>
      </w:pPr>
      <w:r>
        <w:rPr>
          <w:rFonts w:hint="eastAsia" w:ascii="仿宋_GB2312" w:eastAsia="仿宋_GB2312"/>
          <w:sz w:val="32"/>
          <w:szCs w:val="32"/>
        </w:rPr>
        <w:t>4、负责落实计划生育政策，加强辖区城市育龄妇女和流动人口计划生育的科学化管理，做好重点育龄对象的访视检测工作，杜绝计划外生育，并做好妇女儿童保健及全民健康教育等工作。</w:t>
      </w:r>
    </w:p>
    <w:p>
      <w:pPr>
        <w:spacing w:line="520" w:lineRule="exact"/>
        <w:rPr>
          <w:rFonts w:ascii="仿宋_GB2312" w:eastAsia="仿宋_GB2312"/>
          <w:sz w:val="32"/>
          <w:szCs w:val="32"/>
        </w:rPr>
      </w:pPr>
      <w:r>
        <w:rPr>
          <w:rFonts w:hint="eastAsia" w:ascii="仿宋_GB2312" w:eastAsia="仿宋_GB2312"/>
          <w:sz w:val="32"/>
          <w:szCs w:val="32"/>
        </w:rPr>
        <w:t xml:space="preserve">    5、负责搞好城市卫生管理。组织辖区单位和居民群众开展爱国卫生运动，配合市政、园林等有关部门加强城市卫生管理和监督，维护城市正常秩序，树立文明城市意识，争创卫生文明单位。</w:t>
      </w:r>
    </w:p>
    <w:p>
      <w:pPr>
        <w:spacing w:line="520" w:lineRule="exact"/>
        <w:ind w:firstLine="435"/>
        <w:rPr>
          <w:rFonts w:ascii="仿宋_GB2312" w:eastAsia="仿宋_GB2312"/>
          <w:sz w:val="32"/>
          <w:szCs w:val="32"/>
        </w:rPr>
      </w:pPr>
      <w:r>
        <w:rPr>
          <w:rFonts w:hint="eastAsia" w:ascii="仿宋_GB2312" w:eastAsia="仿宋_GB2312"/>
          <w:sz w:val="32"/>
          <w:szCs w:val="32"/>
        </w:rPr>
        <w:t>6、以多种形式发展、壮大街道经济，大力开展社区(村)再就业服务，积极安置下岗职工和闲散劳动力；做好城市居民最低生活保障工作，加强管理，保持社会稳定。</w:t>
      </w:r>
    </w:p>
    <w:p>
      <w:pPr>
        <w:spacing w:line="520" w:lineRule="exact"/>
        <w:ind w:firstLine="435"/>
        <w:rPr>
          <w:rFonts w:ascii="仿宋_GB2312" w:eastAsia="仿宋_GB2312"/>
          <w:sz w:val="32"/>
          <w:szCs w:val="32"/>
        </w:rPr>
      </w:pPr>
      <w:r>
        <w:rPr>
          <w:rFonts w:hint="eastAsia" w:ascii="仿宋_GB2312" w:eastAsia="仿宋_GB2312"/>
          <w:sz w:val="32"/>
          <w:szCs w:val="32"/>
        </w:rPr>
        <w:t>7、负责辖区内人民代表联络，办理代表议案，换届选举等工作。</w:t>
      </w:r>
    </w:p>
    <w:p>
      <w:pPr>
        <w:spacing w:line="640" w:lineRule="atLeast"/>
        <w:ind w:firstLine="643"/>
        <w:rPr>
          <w:rFonts w:ascii="Tahoma"/>
          <w:sz w:val="32"/>
          <w:szCs w:val="32"/>
        </w:rPr>
      </w:pPr>
      <w:r>
        <w:rPr>
          <w:rFonts w:hint="eastAsia" w:ascii="仿宋_GB2312" w:eastAsia="仿宋_GB2312"/>
          <w:sz w:val="32"/>
          <w:szCs w:val="32"/>
        </w:rPr>
        <w:t>8、承办区委、区政府交办的其它工作。</w:t>
      </w:r>
    </w:p>
    <w:p>
      <w:pPr>
        <w:adjustRightInd w:val="0"/>
        <w:snapToGrid w:val="0"/>
        <w:spacing w:line="580" w:lineRule="atLeast"/>
        <w:ind w:firstLine="640" w:firstLineChars="200"/>
        <w:jc w:val="both"/>
      </w:pPr>
      <w:r>
        <w:rPr>
          <w:rFonts w:hint="eastAsia" w:ascii="黑体" w:hAnsi="黑体" w:eastAsia="黑体"/>
          <w:sz w:val="32"/>
          <w:szCs w:val="32"/>
        </w:rPr>
        <w:t>二、部门决算单位构成</w:t>
      </w:r>
    </w:p>
    <w:p>
      <w:pPr>
        <w:adjustRightInd w:val="0"/>
        <w:snapToGrid w:val="0"/>
        <w:spacing w:line="580" w:lineRule="atLeast"/>
        <w:ind w:firstLine="640" w:firstLineChars="200"/>
        <w:jc w:val="both"/>
      </w:pPr>
      <w:r>
        <w:rPr>
          <w:rFonts w:hint="eastAsia" w:ascii="仿宋_GB2312" w:eastAsia="仿宋_GB2312"/>
          <w:bCs/>
          <w:sz w:val="32"/>
          <w:szCs w:val="32"/>
        </w:rPr>
        <w:t>从决算单位构成来看，</w:t>
      </w:r>
      <w:r>
        <w:rPr>
          <w:rStyle w:val="10"/>
          <w:rFonts w:hint="eastAsia" w:ascii="仿宋_GB2312" w:eastAsia="仿宋_GB2312"/>
          <w:bCs/>
          <w:sz w:val="32"/>
          <w:szCs w:val="32"/>
        </w:rPr>
        <w:t>武汉市黄陂区滠口街道办事处部门决算由纳入独立核算的单位本级决算和 2</w:t>
      </w:r>
      <w:r>
        <w:rPr>
          <w:rFonts w:hint="eastAsia" w:ascii="仿宋_GB2312" w:eastAsia="仿宋_GB2312"/>
          <w:bCs/>
          <w:sz w:val="32"/>
          <w:szCs w:val="32"/>
        </w:rPr>
        <w:t>个</w:t>
      </w:r>
      <w:r>
        <w:rPr>
          <w:rStyle w:val="10"/>
          <w:rFonts w:hint="eastAsia" w:ascii="仿宋_GB2312" w:eastAsia="仿宋_GB2312"/>
          <w:bCs/>
          <w:sz w:val="32"/>
          <w:szCs w:val="32"/>
        </w:rPr>
        <w:t>下属单位决算组成。其中：行政单位</w:t>
      </w:r>
      <w:r>
        <w:rPr>
          <w:rFonts w:hint="eastAsia" w:ascii="仿宋_GB2312" w:eastAsia="仿宋_GB2312"/>
          <w:bCs/>
          <w:kern w:val="44"/>
          <w:sz w:val="32"/>
          <w:szCs w:val="32"/>
        </w:rPr>
        <w:t>1</w:t>
      </w:r>
      <w:r>
        <w:rPr>
          <w:rFonts w:hint="eastAsia" w:ascii="仿宋_GB2312" w:eastAsia="仿宋_GB2312"/>
          <w:bCs/>
          <w:sz w:val="32"/>
          <w:szCs w:val="32"/>
        </w:rPr>
        <w:t>个、全额拨款事业单位</w:t>
      </w:r>
      <w:r>
        <w:rPr>
          <w:rFonts w:hint="eastAsia" w:ascii="仿宋_GB2312" w:eastAsia="仿宋_GB2312"/>
          <w:bCs/>
          <w:kern w:val="44"/>
          <w:sz w:val="32"/>
          <w:szCs w:val="32"/>
        </w:rPr>
        <w:t>2</w:t>
      </w:r>
      <w:r>
        <w:rPr>
          <w:rFonts w:hint="eastAsia" w:ascii="仿宋_GB2312" w:eastAsia="仿宋_GB2312"/>
          <w:bCs/>
          <w:sz w:val="32"/>
          <w:szCs w:val="32"/>
        </w:rPr>
        <w:t>个。</w:t>
      </w:r>
    </w:p>
    <w:p>
      <w:pPr>
        <w:adjustRightInd w:val="0"/>
        <w:snapToGrid w:val="0"/>
        <w:spacing w:line="580" w:lineRule="atLeast"/>
        <w:ind w:firstLine="640" w:firstLineChars="200"/>
        <w:jc w:val="both"/>
      </w:pPr>
      <w:r>
        <w:rPr>
          <w:rFonts w:hint="eastAsia" w:ascii="仿宋_GB2312" w:eastAsia="仿宋_GB2312"/>
          <w:bCs/>
          <w:sz w:val="32"/>
          <w:szCs w:val="32"/>
        </w:rPr>
        <w:t>纳入</w:t>
      </w:r>
      <w:r>
        <w:rPr>
          <w:rStyle w:val="10"/>
          <w:rFonts w:hint="eastAsia" w:ascii="仿宋_GB2312" w:eastAsia="仿宋_GB2312"/>
          <w:bCs/>
          <w:sz w:val="32"/>
          <w:szCs w:val="32"/>
        </w:rPr>
        <w:t>武汉市黄陂区滠口街道办事处2018年度部门决算编制范围的二级预算单位包括：</w:t>
      </w:r>
    </w:p>
    <w:p>
      <w:pPr>
        <w:adjustRightInd w:val="0"/>
        <w:snapToGrid w:val="0"/>
        <w:spacing w:line="580" w:lineRule="atLeast"/>
        <w:ind w:firstLine="640" w:firstLineChars="200"/>
        <w:jc w:val="both"/>
      </w:pPr>
      <w:r>
        <w:rPr>
          <w:rFonts w:hint="eastAsia" w:ascii="仿宋_GB2312" w:eastAsia="仿宋_GB2312"/>
          <w:bCs/>
          <w:sz w:val="32"/>
          <w:szCs w:val="32"/>
        </w:rPr>
        <w:t>1.</w:t>
      </w:r>
      <w:r>
        <w:rPr>
          <w:rFonts w:hint="eastAsia" w:ascii="仿宋_GB2312" w:eastAsia="仿宋_GB2312"/>
          <w:sz w:val="32"/>
          <w:szCs w:val="32"/>
        </w:rPr>
        <w:t xml:space="preserve"> 武汉市黄陂区滠口街道财政所</w:t>
      </w:r>
    </w:p>
    <w:p>
      <w:pPr>
        <w:adjustRightInd w:val="0"/>
        <w:snapToGrid w:val="0"/>
        <w:spacing w:line="580" w:lineRule="atLeast"/>
        <w:ind w:firstLine="640" w:firstLineChars="200"/>
        <w:jc w:val="both"/>
      </w:pPr>
      <w:r>
        <w:rPr>
          <w:rFonts w:hint="eastAsia" w:ascii="仿宋_GB2312" w:eastAsia="仿宋_GB2312"/>
          <w:bCs/>
          <w:sz w:val="32"/>
          <w:szCs w:val="32"/>
        </w:rPr>
        <w:t>2.</w:t>
      </w:r>
      <w:r>
        <w:rPr>
          <w:rFonts w:hint="eastAsia" w:ascii="仿宋_GB2312" w:eastAsia="仿宋_GB2312"/>
          <w:sz w:val="32"/>
          <w:szCs w:val="32"/>
        </w:rPr>
        <w:t xml:space="preserve"> 武汉市黄陂区滠口街道办事处经济经营管理站</w:t>
      </w:r>
    </w:p>
    <w:p>
      <w:pPr>
        <w:adjustRightInd w:val="0"/>
        <w:snapToGrid w:val="0"/>
        <w:spacing w:line="580" w:lineRule="atLeast"/>
        <w:jc w:val="both"/>
      </w:pPr>
    </w:p>
    <w:p>
      <w:pPr>
        <w:adjustRightInd w:val="0"/>
        <w:snapToGrid w:val="0"/>
        <w:spacing w:line="580" w:lineRule="atLeast"/>
        <w:ind w:firstLine="640" w:firstLineChars="200"/>
        <w:jc w:val="both"/>
      </w:pPr>
      <w:r>
        <w:rPr>
          <w:rFonts w:hint="eastAsia" w:ascii="黑体" w:hAnsi="黑体" w:eastAsia="黑体"/>
          <w:sz w:val="32"/>
          <w:szCs w:val="32"/>
        </w:rPr>
        <w:t>三、部门人员构成</w:t>
      </w:r>
    </w:p>
    <w:p>
      <w:pPr>
        <w:adjustRightInd w:val="0"/>
        <w:snapToGrid w:val="0"/>
        <w:spacing w:line="580" w:lineRule="atLeast"/>
        <w:ind w:firstLine="640" w:firstLineChars="200"/>
        <w:jc w:val="both"/>
      </w:pPr>
      <w:r>
        <w:rPr>
          <w:rStyle w:val="10"/>
          <w:rFonts w:hint="eastAsia" w:ascii="仿宋_GB2312" w:eastAsia="仿宋_GB2312"/>
          <w:bCs/>
          <w:sz w:val="32"/>
          <w:szCs w:val="32"/>
        </w:rPr>
        <w:t>武汉市黄陂区滠口街道办事处总编制人数</w:t>
      </w:r>
      <w:r>
        <w:rPr>
          <w:rStyle w:val="10"/>
          <w:rFonts w:hint="eastAsia" w:ascii="仿宋_GB2312" w:eastAsia="仿宋_GB2312"/>
          <w:bCs/>
          <w:kern w:val="44"/>
          <w:sz w:val="32"/>
          <w:szCs w:val="32"/>
        </w:rPr>
        <w:t>88</w:t>
      </w:r>
      <w:r>
        <w:rPr>
          <w:rStyle w:val="10"/>
          <w:rFonts w:hint="eastAsia" w:ascii="仿宋_GB2312" w:eastAsia="仿宋_GB2312"/>
          <w:bCs/>
          <w:sz w:val="32"/>
          <w:szCs w:val="32"/>
        </w:rPr>
        <w:t>人，其中：行政编制</w:t>
      </w:r>
      <w:r>
        <w:rPr>
          <w:rStyle w:val="10"/>
          <w:rFonts w:hint="eastAsia" w:ascii="仿宋_GB2312" w:eastAsia="仿宋_GB2312"/>
          <w:bCs/>
          <w:kern w:val="44"/>
          <w:sz w:val="32"/>
          <w:szCs w:val="32"/>
        </w:rPr>
        <w:t>45</w:t>
      </w:r>
      <w:r>
        <w:rPr>
          <w:rStyle w:val="10"/>
          <w:rFonts w:hint="eastAsia" w:ascii="仿宋_GB2312" w:eastAsia="仿宋_GB2312"/>
          <w:bCs/>
          <w:sz w:val="32"/>
          <w:szCs w:val="32"/>
        </w:rPr>
        <w:t>人，事业编制</w:t>
      </w:r>
      <w:r>
        <w:rPr>
          <w:rStyle w:val="10"/>
          <w:rFonts w:hint="eastAsia" w:ascii="仿宋_GB2312" w:eastAsia="仿宋_GB2312"/>
          <w:bCs/>
          <w:kern w:val="44"/>
          <w:sz w:val="32"/>
          <w:szCs w:val="32"/>
        </w:rPr>
        <w:t>43</w:t>
      </w:r>
      <w:r>
        <w:rPr>
          <w:rStyle w:val="10"/>
          <w:rFonts w:hint="eastAsia" w:ascii="仿宋_GB2312" w:eastAsia="仿宋_GB2312"/>
          <w:bCs/>
          <w:sz w:val="32"/>
          <w:szCs w:val="32"/>
        </w:rPr>
        <w:t>人(其中：参照公务员法管理</w:t>
      </w:r>
      <w:r>
        <w:rPr>
          <w:rStyle w:val="10"/>
          <w:rFonts w:hint="eastAsia" w:ascii="仿宋_GB2312" w:eastAsia="仿宋_GB2312"/>
          <w:bCs/>
          <w:kern w:val="44"/>
          <w:sz w:val="32"/>
          <w:szCs w:val="32"/>
        </w:rPr>
        <w:t>0</w:t>
      </w:r>
      <w:r>
        <w:rPr>
          <w:rStyle w:val="10"/>
          <w:rFonts w:hint="eastAsia" w:ascii="仿宋_GB2312" w:eastAsia="仿宋_GB2312"/>
          <w:bCs/>
          <w:sz w:val="32"/>
          <w:szCs w:val="32"/>
        </w:rPr>
        <w:t>人)。在职实有人数</w:t>
      </w:r>
      <w:r>
        <w:rPr>
          <w:rStyle w:val="10"/>
          <w:rFonts w:hint="eastAsia" w:ascii="仿宋_GB2312" w:eastAsia="仿宋_GB2312"/>
          <w:bCs/>
          <w:kern w:val="44"/>
          <w:sz w:val="32"/>
          <w:szCs w:val="32"/>
        </w:rPr>
        <w:t>91</w:t>
      </w:r>
      <w:r>
        <w:rPr>
          <w:rStyle w:val="10"/>
          <w:rFonts w:hint="eastAsia" w:ascii="仿宋_GB2312" w:eastAsia="仿宋_GB2312"/>
          <w:bCs/>
          <w:sz w:val="32"/>
          <w:szCs w:val="32"/>
        </w:rPr>
        <w:t>人，其中：行政</w:t>
      </w:r>
      <w:r>
        <w:rPr>
          <w:rStyle w:val="10"/>
          <w:rFonts w:hint="eastAsia" w:ascii="仿宋_GB2312" w:eastAsia="仿宋_GB2312"/>
          <w:bCs/>
          <w:kern w:val="44"/>
          <w:sz w:val="32"/>
          <w:szCs w:val="32"/>
        </w:rPr>
        <w:t>45</w:t>
      </w:r>
      <w:r>
        <w:rPr>
          <w:rStyle w:val="10"/>
          <w:rFonts w:hint="eastAsia" w:ascii="仿宋_GB2312" w:eastAsia="仿宋_GB2312"/>
          <w:bCs/>
          <w:sz w:val="32"/>
          <w:szCs w:val="32"/>
        </w:rPr>
        <w:t>人，事业</w:t>
      </w:r>
      <w:r>
        <w:rPr>
          <w:rStyle w:val="10"/>
          <w:rFonts w:hint="eastAsia" w:ascii="仿宋_GB2312" w:eastAsia="仿宋_GB2312"/>
          <w:bCs/>
          <w:kern w:val="44"/>
          <w:sz w:val="32"/>
          <w:szCs w:val="32"/>
        </w:rPr>
        <w:t>46</w:t>
      </w:r>
      <w:r>
        <w:rPr>
          <w:rStyle w:val="10"/>
          <w:rFonts w:hint="eastAsia" w:ascii="仿宋_GB2312" w:eastAsia="仿宋_GB2312"/>
          <w:bCs/>
          <w:sz w:val="32"/>
          <w:szCs w:val="32"/>
        </w:rPr>
        <w:t>人(其中：参照公务员法管理</w:t>
      </w:r>
      <w:r>
        <w:rPr>
          <w:rStyle w:val="10"/>
          <w:rFonts w:hint="eastAsia" w:ascii="仿宋_GB2312" w:eastAsia="仿宋_GB2312"/>
          <w:bCs/>
          <w:kern w:val="44"/>
          <w:sz w:val="32"/>
          <w:szCs w:val="32"/>
        </w:rPr>
        <w:t>0</w:t>
      </w:r>
      <w:r>
        <w:rPr>
          <w:rStyle w:val="10"/>
          <w:rFonts w:hint="eastAsia" w:ascii="仿宋_GB2312" w:eastAsia="仿宋_GB2312"/>
          <w:bCs/>
          <w:sz w:val="32"/>
          <w:szCs w:val="32"/>
        </w:rPr>
        <w:t>人)。</w:t>
      </w:r>
    </w:p>
    <w:p>
      <w:pPr>
        <w:adjustRightInd w:val="0"/>
        <w:snapToGrid w:val="0"/>
        <w:spacing w:line="580" w:lineRule="atLeast"/>
        <w:ind w:firstLine="640" w:firstLineChars="200"/>
        <w:jc w:val="both"/>
      </w:pPr>
      <w:r>
        <w:rPr>
          <w:rFonts w:hint="eastAsia" w:ascii="仿宋_GB2312" w:eastAsia="仿宋_GB2312"/>
          <w:bCs/>
          <w:sz w:val="32"/>
          <w:szCs w:val="32"/>
        </w:rPr>
        <w:t>离退休人员</w:t>
      </w:r>
      <w:r>
        <w:rPr>
          <w:rStyle w:val="10"/>
          <w:rFonts w:hint="eastAsia" w:ascii="仿宋_GB2312" w:eastAsia="仿宋_GB2312"/>
          <w:bCs/>
          <w:kern w:val="44"/>
          <w:sz w:val="32"/>
          <w:szCs w:val="32"/>
        </w:rPr>
        <w:t>77</w:t>
      </w:r>
      <w:r>
        <w:rPr>
          <w:rStyle w:val="10"/>
          <w:rFonts w:hint="eastAsia" w:ascii="仿宋_GB2312" w:eastAsia="仿宋_GB2312"/>
          <w:bCs/>
          <w:sz w:val="32"/>
          <w:szCs w:val="32"/>
        </w:rPr>
        <w:t>人，其中：离休</w:t>
      </w:r>
      <w:r>
        <w:rPr>
          <w:rStyle w:val="10"/>
          <w:rFonts w:hint="eastAsia" w:ascii="仿宋_GB2312" w:eastAsia="仿宋_GB2312"/>
          <w:bCs/>
          <w:kern w:val="44"/>
          <w:sz w:val="32"/>
          <w:szCs w:val="32"/>
        </w:rPr>
        <w:t>1</w:t>
      </w:r>
      <w:r>
        <w:rPr>
          <w:rStyle w:val="10"/>
          <w:rFonts w:hint="eastAsia" w:ascii="仿宋_GB2312" w:eastAsia="仿宋_GB2312"/>
          <w:bCs/>
          <w:sz w:val="32"/>
          <w:szCs w:val="32"/>
        </w:rPr>
        <w:t>人，退休</w:t>
      </w:r>
      <w:r>
        <w:rPr>
          <w:rStyle w:val="10"/>
          <w:rFonts w:hint="eastAsia" w:ascii="仿宋_GB2312" w:eastAsia="仿宋_GB2312"/>
          <w:bCs/>
          <w:kern w:val="44"/>
          <w:sz w:val="32"/>
          <w:szCs w:val="32"/>
        </w:rPr>
        <w:t>76</w:t>
      </w:r>
      <w:r>
        <w:rPr>
          <w:rStyle w:val="10"/>
          <w:rFonts w:hint="eastAsia" w:ascii="仿宋_GB2312" w:eastAsia="仿宋_GB2312"/>
          <w:bCs/>
          <w:sz w:val="32"/>
          <w:szCs w:val="32"/>
        </w:rPr>
        <w:t>人。</w:t>
      </w:r>
    </w:p>
    <w:p>
      <w:pPr>
        <w:adjustRightInd w:val="0"/>
        <w:snapToGrid w:val="0"/>
        <w:spacing w:line="580" w:lineRule="atLeast"/>
        <w:ind w:firstLine="640" w:firstLineChars="200"/>
        <w:jc w:val="both"/>
      </w:pPr>
      <w:r>
        <w:rPr>
          <w:rFonts w:hint="eastAsia" w:ascii="仿宋_GB2312" w:eastAsia="仿宋_GB2312"/>
          <w:sz w:val="32"/>
          <w:szCs w:val="20"/>
        </w:rPr>
        <w:t> </w:t>
      </w:r>
    </w:p>
    <w:p>
      <w:pPr>
        <w:snapToGrid w:val="0"/>
        <w:jc w:val="both"/>
      </w:pPr>
      <w:r>
        <w:rPr>
          <w:rFonts w:hint="eastAsia"/>
        </w:rPr>
        <w:t xml:space="preserve">  </w:t>
      </w:r>
    </w:p>
    <w:p>
      <w:pPr>
        <w:pStyle w:val="2"/>
        <w:snapToGrid w:val="0"/>
        <w:spacing w:before="0" w:beforeAutospacing="0" w:after="0" w:afterAutospacing="0"/>
        <w:jc w:val="both"/>
        <w:rPr>
          <w:rFonts w:ascii="Times New Roman" w:hAnsi="Times New Roman"/>
        </w:rPr>
      </w:pPr>
      <w:r>
        <w:rPr>
          <w:rFonts w:hint="eastAsia" w:ascii="Times New Roman" w:hAnsi="Times New Roman"/>
        </w:rPr>
        <w:t>第二部分</w:t>
      </w:r>
      <w:r>
        <w:rPr>
          <w:rFonts w:hint="eastAsia"/>
        </w:rPr>
        <w:t xml:space="preserve">  </w:t>
      </w:r>
      <w:r>
        <w:rPr>
          <w:rStyle w:val="10"/>
          <w:rFonts w:hint="eastAsia"/>
        </w:rPr>
        <w:t>武汉市黄陂区滠口街道办事处2018</w:t>
      </w:r>
      <w:r>
        <w:rPr>
          <w:rFonts w:hint="eastAsia" w:ascii="Times New Roman" w:hAnsi="Times New Roman"/>
        </w:rPr>
        <w:t>年度部门决算表</w:t>
      </w:r>
    </w:p>
    <w:p>
      <w:pPr>
        <w:pStyle w:val="2"/>
        <w:snapToGrid w:val="0"/>
        <w:spacing w:before="0" w:beforeAutospacing="0" w:after="0" w:afterAutospacing="0"/>
        <w:ind w:firstLine="643" w:firstLineChars="200"/>
        <w:jc w:val="both"/>
        <w:rPr>
          <w:sz w:val="32"/>
          <w:szCs w:val="32"/>
        </w:rPr>
      </w:pPr>
      <w:r>
        <w:rPr>
          <w:rFonts w:hint="eastAsia" w:ascii="Times New Roman" w:hAnsi="Times New Roman"/>
          <w:sz w:val="32"/>
          <w:szCs w:val="32"/>
        </w:rPr>
        <w:t>(附件上传)</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rPr>
        <w:t> </w:t>
      </w:r>
    </w:p>
    <w:p>
      <w:pPr>
        <w:snapToGrid w:val="0"/>
        <w:jc w:val="both"/>
      </w:pPr>
      <w:r>
        <w:rPr>
          <w:rFonts w:hint="eastAsia" w:ascii="Times New Roman" w:hAnsi="Times New Roman"/>
          <w:b/>
          <w:kern w:val="44"/>
          <w:sz w:val="44"/>
          <w:szCs w:val="20"/>
        </w:rPr>
        <w:t>第三部分</w:t>
      </w:r>
      <w:r>
        <w:rPr>
          <w:rFonts w:hint="eastAsia"/>
          <w:b/>
          <w:kern w:val="44"/>
          <w:sz w:val="44"/>
          <w:szCs w:val="20"/>
        </w:rPr>
        <w:t xml:space="preserve">  </w:t>
      </w:r>
      <w:r>
        <w:rPr>
          <w:rStyle w:val="10"/>
          <w:rFonts w:hint="eastAsia"/>
          <w:b/>
          <w:kern w:val="44"/>
          <w:sz w:val="44"/>
          <w:szCs w:val="20"/>
        </w:rPr>
        <w:t>武汉市黄陂区滠口街道办事处2018</w:t>
      </w:r>
      <w:r>
        <w:rPr>
          <w:rFonts w:hint="eastAsia" w:ascii="Times New Roman" w:hAnsi="Times New Roman"/>
          <w:b/>
          <w:kern w:val="44"/>
          <w:sz w:val="44"/>
          <w:szCs w:val="20"/>
        </w:rPr>
        <w:t>年度部门决算情况说明</w:t>
      </w:r>
    </w:p>
    <w:p>
      <w:pPr>
        <w:adjustRightInd w:val="0"/>
        <w:snapToGrid w:val="0"/>
        <w:spacing w:line="580" w:lineRule="atLeast"/>
        <w:ind w:firstLine="640" w:firstLineChars="200"/>
        <w:jc w:val="both"/>
      </w:pPr>
      <w:r>
        <w:rPr>
          <w:rFonts w:ascii="Calibri" w:hAnsi="Calibri" w:eastAsia="黑体" w:cs="Calibri"/>
          <w:sz w:val="32"/>
          <w:szCs w:val="32"/>
        </w:rPr>
        <w:t> </w:t>
      </w:r>
    </w:p>
    <w:p>
      <w:pPr>
        <w:adjustRightInd w:val="0"/>
        <w:snapToGrid w:val="0"/>
        <w:spacing w:line="580" w:lineRule="atLeast"/>
        <w:ind w:firstLine="640" w:firstLineChars="200"/>
        <w:jc w:val="both"/>
      </w:pPr>
      <w:r>
        <w:rPr>
          <w:rFonts w:hint="eastAsia" w:ascii="黑体" w:hAnsi="黑体" w:eastAsia="黑体"/>
          <w:sz w:val="32"/>
          <w:szCs w:val="32"/>
        </w:rPr>
        <w:t>一、2018年度收入支出决算总体情况说明</w:t>
      </w:r>
    </w:p>
    <w:p>
      <w:pPr>
        <w:adjustRightInd w:val="0"/>
        <w:snapToGrid w:val="0"/>
        <w:spacing w:line="580" w:lineRule="atLeast"/>
        <w:ind w:firstLine="640" w:firstLineChars="200"/>
        <w:jc w:val="both"/>
      </w:pPr>
      <w:r>
        <w:rPr>
          <w:rFonts w:hint="eastAsia" w:ascii="仿宋_GB2312" w:eastAsia="仿宋_GB2312"/>
          <w:bCs/>
          <w:kern w:val="44"/>
          <w:sz w:val="32"/>
          <w:szCs w:val="32"/>
        </w:rPr>
        <w:t>2018年度收、支总计</w:t>
      </w:r>
      <w:r>
        <w:rPr>
          <w:rStyle w:val="10"/>
          <w:rFonts w:hint="eastAsia" w:ascii="仿宋_GB2312" w:eastAsia="仿宋_GB2312"/>
          <w:bCs/>
          <w:kern w:val="44"/>
          <w:sz w:val="32"/>
          <w:szCs w:val="32"/>
        </w:rPr>
        <w:t>54,094.67万元。与2017年相比，收、支总计各增加</w:t>
      </w:r>
      <w:r>
        <w:rPr>
          <w:rFonts w:hint="eastAsia" w:ascii="仿宋_GB2312" w:eastAsia="仿宋_GB2312"/>
          <w:bCs/>
          <w:kern w:val="44"/>
          <w:sz w:val="32"/>
          <w:szCs w:val="32"/>
        </w:rPr>
        <w:t>5,526.67</w:t>
      </w:r>
      <w:r>
        <w:rPr>
          <w:rStyle w:val="10"/>
          <w:rFonts w:hint="eastAsia" w:ascii="仿宋_GB2312" w:eastAsia="仿宋_GB2312"/>
          <w:bCs/>
          <w:kern w:val="44"/>
          <w:sz w:val="32"/>
          <w:szCs w:val="32"/>
        </w:rPr>
        <w:t>万元，增长</w:t>
      </w:r>
      <w:r>
        <w:rPr>
          <w:rFonts w:hint="eastAsia" w:ascii="仿宋_GB2312" w:eastAsia="仿宋_GB2312"/>
          <w:bCs/>
          <w:kern w:val="44"/>
          <w:sz w:val="32"/>
          <w:szCs w:val="32"/>
        </w:rPr>
        <w:t>11.38%，主要原因是</w:t>
      </w:r>
      <w:r>
        <w:rPr>
          <w:rFonts w:hint="eastAsia" w:ascii="仿宋_GB2312" w:eastAsia="仿宋_GB2312"/>
          <w:sz w:val="32"/>
          <w:szCs w:val="32"/>
        </w:rPr>
        <w:t>上级专项补助增加、重点工程及征地拆迁补偿增加等</w:t>
      </w:r>
      <w:r>
        <w:rPr>
          <w:rFonts w:hint="eastAsia" w:ascii="仿宋_GB2312" w:eastAsia="仿宋_GB2312"/>
          <w:bCs/>
          <w:kern w:val="44"/>
          <w:sz w:val="32"/>
          <w:szCs w:val="32"/>
        </w:rPr>
        <w:t>。</w:t>
      </w:r>
    </w:p>
    <w:p>
      <w:pPr>
        <w:adjustRightInd w:val="0"/>
        <w:snapToGrid w:val="0"/>
        <w:spacing w:line="580" w:lineRule="atLeast"/>
        <w:jc w:val="center"/>
        <w:rPr>
          <w:rFonts w:ascii="仿宋_GB2312" w:eastAsia="仿宋_GB2312"/>
          <w:bCs/>
          <w:kern w:val="44"/>
          <w:sz w:val="32"/>
          <w:szCs w:val="32"/>
        </w:rPr>
      </w:pPr>
      <w:r>
        <w:rPr>
          <w:rFonts w:hint="eastAsia" w:ascii="仿宋_GB2312" w:eastAsia="仿宋_GB2312"/>
          <w:bCs/>
          <w:kern w:val="44"/>
          <w:sz w:val="32"/>
          <w:szCs w:val="32"/>
        </w:rPr>
        <w:t>图1：收、支决算总计变动情况</w:t>
      </w:r>
    </w:p>
    <w:p>
      <w:pPr>
        <w:adjustRightInd w:val="0"/>
        <w:snapToGrid w:val="0"/>
        <w:spacing w:line="580" w:lineRule="atLeast"/>
        <w:jc w:val="center"/>
        <w:rPr>
          <w:rFonts w:ascii="仿宋_GB2312" w:eastAsia="仿宋_GB2312"/>
          <w:bCs/>
          <w:kern w:val="44"/>
          <w:sz w:val="32"/>
          <w:szCs w:val="32"/>
        </w:rPr>
      </w:pPr>
      <w:r>
        <w:rPr>
          <w:rFonts w:hint="eastAsia"/>
        </w:rPr>
        <w:object>
          <v:shape id="_x0000_i1025" o:spt="75" type="#_x0000_t75" style="height:282pt;width:415.5pt;" o:ole="t" filled="f" o:preferrelative="t" stroked="f" coordsize="21600,21600">
            <v:path/>
            <v:fill on="f" focussize="0,0"/>
            <v:stroke on="f" joinstyle="miter"/>
            <v:imagedata r:id="rId5" o:title=""/>
            <o:lock v:ext="edit" aspectratio="f"/>
            <w10:wrap type="none"/>
            <w10:anchorlock/>
          </v:shape>
          <o:OLEObject Type="Embed" ProgID="Excel.Chart.8" ShapeID="_x0000_i1025" DrawAspect="Content" ObjectID="_1468075725" r:id="rId4">
            <o:LockedField>false</o:LockedField>
          </o:OLEObject>
        </w:object>
      </w:r>
    </w:p>
    <w:p>
      <w:pPr>
        <w:adjustRightInd w:val="0"/>
        <w:snapToGrid w:val="0"/>
        <w:spacing w:line="580" w:lineRule="atLeast"/>
        <w:ind w:firstLine="640" w:firstLineChars="200"/>
        <w:jc w:val="both"/>
      </w:pPr>
      <w:r>
        <w:rPr>
          <w:rFonts w:hint="eastAsia" w:ascii="黑体" w:hAnsi="Times New Roman" w:eastAsia="黑体"/>
          <w:bCs/>
          <w:kern w:val="44"/>
          <w:sz w:val="32"/>
          <w:szCs w:val="32"/>
        </w:rPr>
        <w:t>二、2018年度收入决算情况</w:t>
      </w:r>
      <w:r>
        <w:rPr>
          <w:rFonts w:hint="eastAsia" w:ascii="黑体" w:hAnsi="黑体" w:eastAsia="黑体"/>
          <w:sz w:val="32"/>
          <w:szCs w:val="32"/>
        </w:rPr>
        <w:t>说明</w:t>
      </w:r>
    </w:p>
    <w:p>
      <w:pPr>
        <w:adjustRightInd w:val="0"/>
        <w:snapToGrid w:val="0"/>
        <w:spacing w:line="580" w:lineRule="atLeast"/>
        <w:ind w:firstLine="640" w:firstLineChars="200"/>
        <w:jc w:val="both"/>
      </w:pPr>
      <w:r>
        <w:rPr>
          <w:rFonts w:hint="eastAsia" w:ascii="仿宋_GB2312" w:eastAsia="仿宋_GB2312"/>
          <w:bCs/>
          <w:kern w:val="44"/>
          <w:sz w:val="32"/>
          <w:szCs w:val="32"/>
        </w:rPr>
        <w:t>2018年度本年收入合计</w:t>
      </w:r>
      <w:r>
        <w:rPr>
          <w:rStyle w:val="10"/>
          <w:rFonts w:hint="eastAsia" w:ascii="仿宋_GB2312" w:eastAsia="仿宋_GB2312"/>
          <w:bCs/>
          <w:kern w:val="44"/>
          <w:sz w:val="32"/>
          <w:szCs w:val="32"/>
        </w:rPr>
        <w:t>54,094.67万元。其中：财政拨款收入54,094.67万元，占本年收入 100.00%。</w:t>
      </w:r>
    </w:p>
    <w:p>
      <w:pPr>
        <w:adjustRightInd w:val="0"/>
        <w:snapToGrid w:val="0"/>
        <w:spacing w:line="580" w:lineRule="atLeast"/>
        <w:jc w:val="center"/>
        <w:rPr>
          <w:rFonts w:ascii="仿宋_GB2312" w:eastAsia="仿宋_GB2312"/>
          <w:bCs/>
          <w:kern w:val="44"/>
          <w:sz w:val="32"/>
          <w:szCs w:val="32"/>
        </w:rPr>
      </w:pPr>
      <w:r>
        <w:rPr>
          <w:rFonts w:hint="eastAsia" w:ascii="仿宋_GB2312" w:eastAsia="仿宋_GB2312"/>
          <w:bCs/>
          <w:kern w:val="44"/>
          <w:sz w:val="32"/>
          <w:szCs w:val="32"/>
        </w:rPr>
        <w:t>图2：收入决算结构</w:t>
      </w:r>
    </w:p>
    <w:p>
      <w:pPr>
        <w:adjustRightInd w:val="0"/>
        <w:snapToGrid w:val="0"/>
        <w:spacing w:line="580" w:lineRule="atLeast"/>
        <w:jc w:val="center"/>
      </w:pPr>
      <w:r>
        <w:rPr>
          <w:rFonts w:hint="eastAsia"/>
        </w:rPr>
        <w:object>
          <v:shape id="_x0000_i1026" o:spt="75" type="#_x0000_t75" style="height:276.75pt;width:415.5pt;" o:ole="t" filled="f" o:preferrelative="t" stroked="f" coordsize="21600,21600">
            <v:path/>
            <v:fill on="f" focussize="0,0"/>
            <v:stroke on="f" joinstyle="miter"/>
            <v:imagedata r:id="rId7" o:title=""/>
            <o:lock v:ext="edit" aspectratio="f"/>
            <w10:wrap type="none"/>
            <w10:anchorlock/>
          </v:shape>
          <o:OLEObject Type="Embed" ProgID="Excel.Chart.8" ShapeID="_x0000_i1026" DrawAspect="Content" ObjectID="_1468075726" r:id="rId6">
            <o:LockedField>false</o:LockedField>
          </o:OLEObject>
        </w:object>
      </w:r>
    </w:p>
    <w:p>
      <w:pPr>
        <w:adjustRightInd w:val="0"/>
        <w:snapToGrid w:val="0"/>
        <w:spacing w:line="580" w:lineRule="atLeast"/>
        <w:ind w:firstLine="640" w:firstLineChars="200"/>
        <w:jc w:val="both"/>
      </w:pPr>
      <w:r>
        <w:rPr>
          <w:rFonts w:hint="eastAsia" w:ascii="黑体" w:hAnsi="Times New Roman" w:eastAsia="黑体"/>
          <w:bCs/>
          <w:kern w:val="44"/>
          <w:sz w:val="32"/>
          <w:szCs w:val="32"/>
        </w:rPr>
        <w:t>三、2018年度支出决算情况</w:t>
      </w:r>
      <w:r>
        <w:rPr>
          <w:rFonts w:hint="eastAsia" w:ascii="黑体" w:hAnsi="黑体" w:eastAsia="黑体"/>
          <w:sz w:val="32"/>
          <w:szCs w:val="32"/>
        </w:rPr>
        <w:t>说明</w:t>
      </w:r>
    </w:p>
    <w:p>
      <w:pPr>
        <w:adjustRightInd w:val="0"/>
        <w:snapToGrid w:val="0"/>
        <w:spacing w:line="580" w:lineRule="atLeast"/>
        <w:ind w:firstLine="640" w:firstLineChars="200"/>
        <w:jc w:val="both"/>
      </w:pPr>
      <w:r>
        <w:rPr>
          <w:rFonts w:hint="eastAsia" w:ascii="仿宋_GB2312" w:eastAsia="仿宋_GB2312"/>
          <w:bCs/>
          <w:kern w:val="44"/>
          <w:sz w:val="32"/>
          <w:szCs w:val="32"/>
        </w:rPr>
        <w:t>2018年度本年支出合计</w:t>
      </w:r>
      <w:r>
        <w:rPr>
          <w:rStyle w:val="10"/>
          <w:rFonts w:hint="eastAsia" w:ascii="仿宋_GB2312" w:eastAsia="仿宋_GB2312"/>
          <w:bCs/>
          <w:kern w:val="44"/>
          <w:sz w:val="32"/>
          <w:szCs w:val="32"/>
        </w:rPr>
        <w:t>54,094.67万元。其中：基本支出2,522.99万元，占本年支出4.70%；项目支出51,571.68万元，占本年支出95.30%。</w:t>
      </w:r>
    </w:p>
    <w:p>
      <w:pPr>
        <w:adjustRightInd w:val="0"/>
        <w:snapToGrid w:val="0"/>
        <w:spacing w:line="580" w:lineRule="atLeast"/>
        <w:jc w:val="center"/>
        <w:rPr>
          <w:rFonts w:ascii="仿宋_GB2312" w:eastAsia="仿宋_GB2312"/>
          <w:bCs/>
          <w:kern w:val="44"/>
          <w:sz w:val="32"/>
          <w:szCs w:val="32"/>
        </w:rPr>
      </w:pPr>
      <w:r>
        <w:rPr>
          <w:rFonts w:hint="eastAsia" w:ascii="仿宋_GB2312" w:eastAsia="仿宋_GB2312"/>
          <w:bCs/>
          <w:kern w:val="44"/>
          <w:sz w:val="32"/>
          <w:szCs w:val="32"/>
        </w:rPr>
        <w:t>图3：支出决算结构</w:t>
      </w:r>
    </w:p>
    <w:p>
      <w:pPr>
        <w:adjustRightInd w:val="0"/>
        <w:snapToGrid w:val="0"/>
        <w:spacing w:line="580" w:lineRule="atLeast"/>
        <w:jc w:val="center"/>
      </w:pPr>
      <w:r>
        <w:rPr>
          <w:rFonts w:hint="eastAsia"/>
        </w:rPr>
        <w:object>
          <v:shape id="_x0000_i1027" o:spt="75" type="#_x0000_t75" style="height:249pt;width:415.5pt;" o:ole="t" filled="f" o:preferrelative="t" stroked="f" coordsize="21600,21600">
            <v:path/>
            <v:fill on="f" focussize="0,0"/>
            <v:stroke on="f" joinstyle="miter"/>
            <v:imagedata r:id="rId9" o:title=""/>
            <o:lock v:ext="edit" aspectratio="f"/>
            <w10:wrap type="none"/>
            <w10:anchorlock/>
          </v:shape>
          <o:OLEObject Type="Embed" ProgID="Excel.Chart.8" ShapeID="_x0000_i1027" DrawAspect="Content" ObjectID="_1468075727" r:id="rId8">
            <o:LockedField>false</o:LockedField>
          </o:OLEObject>
        </w:object>
      </w:r>
    </w:p>
    <w:p>
      <w:pPr>
        <w:adjustRightInd w:val="0"/>
        <w:snapToGrid w:val="0"/>
        <w:spacing w:line="580" w:lineRule="atLeast"/>
        <w:ind w:firstLine="640" w:firstLineChars="200"/>
        <w:jc w:val="both"/>
      </w:pPr>
      <w:r>
        <w:rPr>
          <w:rFonts w:hint="eastAsia" w:ascii="黑体" w:hAnsi="Times New Roman" w:eastAsia="黑体"/>
          <w:bCs/>
          <w:kern w:val="44"/>
          <w:sz w:val="32"/>
          <w:szCs w:val="32"/>
        </w:rPr>
        <w:t>四、2018年度财政拨款收入支出决算总体情况</w:t>
      </w:r>
      <w:r>
        <w:rPr>
          <w:rFonts w:hint="eastAsia" w:ascii="黑体" w:hAnsi="黑体" w:eastAsia="黑体"/>
          <w:sz w:val="32"/>
          <w:szCs w:val="32"/>
        </w:rPr>
        <w:t>说明</w:t>
      </w:r>
    </w:p>
    <w:p>
      <w:pPr>
        <w:adjustRightInd w:val="0"/>
        <w:snapToGrid w:val="0"/>
        <w:spacing w:line="580" w:lineRule="atLeast"/>
        <w:ind w:firstLine="640" w:firstLineChars="200"/>
        <w:jc w:val="both"/>
      </w:pPr>
      <w:r>
        <w:rPr>
          <w:rFonts w:hint="eastAsia" w:ascii="仿宋_GB2312" w:eastAsia="仿宋_GB2312"/>
          <w:bCs/>
          <w:kern w:val="44"/>
          <w:sz w:val="32"/>
          <w:szCs w:val="32"/>
        </w:rPr>
        <w:t>2018年度财政拨款收、支总计</w:t>
      </w:r>
      <w:r>
        <w:rPr>
          <w:rStyle w:val="10"/>
          <w:rFonts w:hint="eastAsia" w:ascii="仿宋_GB2312" w:eastAsia="仿宋_GB2312"/>
          <w:bCs/>
          <w:kern w:val="44"/>
          <w:sz w:val="32"/>
          <w:szCs w:val="32"/>
        </w:rPr>
        <w:t>54,094.67万元。与2017年相比，财政拨款收、支总计各增加5,526.67万元，增长11.40%。主要原因是</w:t>
      </w:r>
      <w:r>
        <w:rPr>
          <w:rFonts w:hint="eastAsia" w:ascii="仿宋_GB2312" w:eastAsia="仿宋_GB2312"/>
          <w:sz w:val="32"/>
          <w:szCs w:val="32"/>
        </w:rPr>
        <w:t>上级专项补助增加、重点工程及征地拆迁补偿增加等。</w:t>
      </w:r>
      <w:bookmarkStart w:id="0" w:name="_GoBack"/>
      <w:bookmarkEnd w:id="0"/>
    </w:p>
    <w:p>
      <w:pPr>
        <w:adjustRightInd w:val="0"/>
        <w:snapToGrid w:val="0"/>
        <w:spacing w:line="580" w:lineRule="atLeast"/>
        <w:jc w:val="center"/>
        <w:rPr>
          <w:rFonts w:ascii="仿宋_GB2312" w:eastAsia="仿宋_GB2312"/>
          <w:bCs/>
          <w:kern w:val="44"/>
          <w:sz w:val="32"/>
          <w:szCs w:val="32"/>
        </w:rPr>
      </w:pPr>
      <w:r>
        <w:rPr>
          <w:rFonts w:hint="eastAsia" w:ascii="仿宋_GB2312" w:eastAsia="仿宋_GB2312"/>
          <w:bCs/>
          <w:kern w:val="44"/>
          <w:sz w:val="32"/>
          <w:szCs w:val="32"/>
        </w:rPr>
        <w:t>图4：财政拨款收、支决算总计变动情况</w:t>
      </w:r>
    </w:p>
    <w:p>
      <w:pPr>
        <w:adjustRightInd w:val="0"/>
        <w:snapToGrid w:val="0"/>
        <w:spacing w:line="580" w:lineRule="atLeast"/>
        <w:jc w:val="center"/>
      </w:pPr>
      <w:r>
        <w:rPr>
          <w:rFonts w:hint="eastAsia"/>
        </w:rPr>
        <w:object>
          <v:shape id="_x0000_i1028" o:spt="75" type="#_x0000_t75" style="height:247.5pt;width:415.5pt;" o:ole="t" filled="f" o:preferrelative="t" stroked="f" coordsize="21600,21600">
            <v:path/>
            <v:fill on="f" focussize="0,0"/>
            <v:stroke on="f" joinstyle="miter"/>
            <v:imagedata r:id="rId11" o:title=""/>
            <o:lock v:ext="edit" aspectratio="f"/>
            <w10:wrap type="none"/>
            <w10:anchorlock/>
          </v:shape>
          <o:OLEObject Type="Embed" ProgID="Excel.Chart.8" ShapeID="_x0000_i1028" DrawAspect="Content" ObjectID="_1468075728" r:id="rId10">
            <o:LockedField>false</o:LockedField>
          </o:OLEObject>
        </w:object>
      </w:r>
    </w:p>
    <w:p>
      <w:pPr>
        <w:pStyle w:val="9"/>
        <w:snapToGrid w:val="0"/>
        <w:spacing w:before="0" w:beforeAutospacing="0" w:after="0" w:afterAutospacing="0" w:line="580" w:lineRule="atLeast"/>
        <w:ind w:firstLine="640" w:firstLineChars="200"/>
        <w:jc w:val="both"/>
      </w:pPr>
      <w:r>
        <w:rPr>
          <w:rFonts w:hint="eastAsia" w:ascii="黑体" w:eastAsia="黑体"/>
          <w:bCs/>
          <w:sz w:val="32"/>
          <w:szCs w:val="32"/>
        </w:rPr>
        <w:t>五、2018年度一般公共预算财政拨款支出决算情况</w:t>
      </w:r>
      <w:r>
        <w:rPr>
          <w:rFonts w:hint="eastAsia" w:ascii="黑体" w:hAnsi="黑体" w:eastAsia="黑体"/>
          <w:sz w:val="32"/>
          <w:szCs w:val="32"/>
        </w:rPr>
        <w:t>说明</w:t>
      </w:r>
    </w:p>
    <w:p>
      <w:pPr>
        <w:adjustRightInd w:val="0"/>
        <w:snapToGrid w:val="0"/>
        <w:spacing w:line="580" w:lineRule="atLeast"/>
        <w:ind w:firstLine="640" w:firstLineChars="200"/>
        <w:jc w:val="both"/>
      </w:pPr>
      <w:r>
        <w:rPr>
          <w:rFonts w:hint="eastAsia" w:ascii="仿宋_GB2312" w:eastAsia="仿宋_GB2312"/>
          <w:bCs/>
          <w:kern w:val="44"/>
          <w:sz w:val="32"/>
          <w:szCs w:val="32"/>
        </w:rPr>
        <w:t>（一）财政拨款支出决算总体情况。</w:t>
      </w:r>
    </w:p>
    <w:p>
      <w:pPr>
        <w:adjustRightInd w:val="0"/>
        <w:snapToGrid w:val="0"/>
        <w:spacing w:line="580" w:lineRule="atLeast"/>
        <w:ind w:firstLine="640" w:firstLineChars="200"/>
        <w:jc w:val="both"/>
      </w:pPr>
      <w:r>
        <w:rPr>
          <w:rFonts w:hint="eastAsia" w:ascii="仿宋_GB2312" w:eastAsia="仿宋_GB2312"/>
          <w:bCs/>
          <w:kern w:val="44"/>
          <w:sz w:val="32"/>
          <w:szCs w:val="32"/>
        </w:rPr>
        <w:t>2018年度财政拨款支出</w:t>
      </w:r>
      <w:r>
        <w:rPr>
          <w:rStyle w:val="10"/>
          <w:rFonts w:hint="eastAsia" w:ascii="仿宋_GB2312" w:eastAsia="仿宋_GB2312"/>
          <w:bCs/>
          <w:kern w:val="44"/>
          <w:sz w:val="32"/>
          <w:szCs w:val="32"/>
        </w:rPr>
        <w:t>29,384.67万元，占本年支出合计的54.30 %。与2017年相比，财政拨款支出增加14,187.67万元，增长93.4%。主要原因是</w:t>
      </w:r>
      <w:r>
        <w:rPr>
          <w:rFonts w:hint="eastAsia" w:ascii="仿宋_GB2312" w:eastAsia="仿宋_GB2312"/>
          <w:sz w:val="32"/>
          <w:szCs w:val="32"/>
        </w:rPr>
        <w:t>上级专项补助增加及各项重点工程项目的集中推进</w:t>
      </w:r>
      <w:r>
        <w:rPr>
          <w:rStyle w:val="10"/>
          <w:rFonts w:hint="eastAsia" w:ascii="仿宋_GB2312" w:eastAsia="仿宋_GB2312"/>
          <w:bCs/>
          <w:kern w:val="44"/>
          <w:sz w:val="32"/>
          <w:szCs w:val="32"/>
        </w:rPr>
        <w:t>。</w:t>
      </w:r>
    </w:p>
    <w:p>
      <w:pPr>
        <w:adjustRightInd w:val="0"/>
        <w:snapToGrid w:val="0"/>
        <w:spacing w:line="580" w:lineRule="atLeast"/>
        <w:ind w:firstLine="640" w:firstLineChars="200"/>
        <w:jc w:val="both"/>
      </w:pPr>
      <w:r>
        <w:rPr>
          <w:rFonts w:hint="eastAsia" w:ascii="仿宋_GB2312" w:eastAsia="仿宋_GB2312"/>
          <w:bCs/>
          <w:kern w:val="44"/>
          <w:sz w:val="32"/>
          <w:szCs w:val="32"/>
        </w:rPr>
        <w:t>（二）财政拨款支出决算结构情况。</w:t>
      </w:r>
    </w:p>
    <w:p>
      <w:pPr>
        <w:adjustRightInd w:val="0"/>
        <w:snapToGrid w:val="0"/>
        <w:spacing w:line="580" w:lineRule="atLeast"/>
        <w:ind w:firstLine="640" w:firstLineChars="200"/>
        <w:jc w:val="both"/>
      </w:pPr>
      <w:r>
        <w:rPr>
          <w:rFonts w:hint="eastAsia" w:ascii="仿宋_GB2312" w:eastAsia="仿宋_GB2312"/>
          <w:bCs/>
          <w:kern w:val="44"/>
          <w:sz w:val="32"/>
          <w:szCs w:val="32"/>
        </w:rPr>
        <w:t>2018年度财政拨款支出</w:t>
      </w:r>
      <w:r>
        <w:rPr>
          <w:rStyle w:val="10"/>
          <w:rFonts w:hint="eastAsia" w:ascii="仿宋_GB2312" w:eastAsia="仿宋_GB2312"/>
          <w:bCs/>
          <w:kern w:val="44"/>
          <w:sz w:val="32"/>
          <w:szCs w:val="32"/>
        </w:rPr>
        <w:t>29,384.67万元，主要用于以下方面：一般公共服务（类）支出2,264.43万元，占7.70 %； 公共安全支出10.00万元，占0.00 %； 教育支出3.00万元，占0.00 %； 文化体育与传媒支出18.57万元，占0.10 %； 社会保障和就业支出852.00万元，占2.90 %； 医疗卫生与计划生育支出331.52万元，占1.10 %； 节能环保支出1,200.00万元，占4.10 %； 城乡社区支出23,399.86万元，占79.60 %； 农林水支出1,034.39万元，占3.50 %；国土海洋气象等支出95.86万元，占0.30 %； 住房保障支出175.04万元，占0.60 %。</w:t>
      </w:r>
    </w:p>
    <w:p>
      <w:pPr>
        <w:adjustRightInd w:val="0"/>
        <w:snapToGrid w:val="0"/>
        <w:spacing w:line="580" w:lineRule="atLeast"/>
        <w:ind w:firstLine="640" w:firstLineChars="200"/>
        <w:jc w:val="both"/>
      </w:pPr>
      <w:r>
        <w:rPr>
          <w:rFonts w:hint="eastAsia" w:ascii="仿宋_GB2312" w:eastAsia="仿宋_GB2312"/>
          <w:bCs/>
          <w:kern w:val="44"/>
          <w:sz w:val="32"/>
          <w:szCs w:val="32"/>
        </w:rPr>
        <w:t>（三）财政拨款支出决算具体情况。</w:t>
      </w:r>
    </w:p>
    <w:p>
      <w:pPr>
        <w:adjustRightInd w:val="0"/>
        <w:snapToGrid w:val="0"/>
        <w:spacing w:line="580" w:lineRule="atLeast"/>
        <w:ind w:firstLine="640" w:firstLineChars="200"/>
        <w:jc w:val="both"/>
      </w:pPr>
      <w:r>
        <w:rPr>
          <w:rFonts w:hint="eastAsia" w:ascii="仿宋_GB2312" w:eastAsia="仿宋_GB2312"/>
          <w:bCs/>
          <w:kern w:val="44"/>
          <w:sz w:val="32"/>
          <w:szCs w:val="32"/>
        </w:rPr>
        <w:t>2018年一般公共预算财政拨款支出年初预算为</w:t>
      </w:r>
      <w:r>
        <w:rPr>
          <w:rStyle w:val="10"/>
          <w:rFonts w:hint="eastAsia" w:ascii="仿宋_GB2312" w:eastAsia="仿宋_GB2312"/>
          <w:bCs/>
          <w:kern w:val="44"/>
          <w:sz w:val="32"/>
          <w:szCs w:val="32"/>
        </w:rPr>
        <w:t>17,322.26万元</w:t>
      </w:r>
      <w:r>
        <w:rPr>
          <w:rFonts w:hint="eastAsia" w:ascii="仿宋_GB2312" w:eastAsia="仿宋_GB2312"/>
          <w:bCs/>
          <w:kern w:val="44"/>
          <w:sz w:val="32"/>
          <w:szCs w:val="32"/>
        </w:rPr>
        <w:t>，支出决算为</w:t>
      </w:r>
      <w:r>
        <w:rPr>
          <w:rStyle w:val="10"/>
          <w:rFonts w:hint="eastAsia" w:ascii="仿宋_GB2312" w:eastAsia="仿宋_GB2312"/>
          <w:bCs/>
          <w:kern w:val="44"/>
          <w:sz w:val="32"/>
          <w:szCs w:val="32"/>
        </w:rPr>
        <w:t>29,384.67万元，完成年初预算的169.60%。其中：基本支出2,522.99万元，项目支出26,861.68</w:t>
      </w:r>
      <w:r>
        <w:rPr>
          <w:rStyle w:val="10"/>
          <w:rFonts w:hint="eastAsia" w:ascii="仿宋_GB2312" w:eastAsia="仿宋_GB2312"/>
          <w:bCs/>
          <w:kern w:val="44"/>
          <w:sz w:val="32"/>
          <w:szCs w:val="32"/>
        </w:rPr>
        <w:tab/>
      </w:r>
      <w:r>
        <w:rPr>
          <w:rStyle w:val="10"/>
          <w:rFonts w:hint="eastAsia" w:ascii="仿宋_GB2312" w:eastAsia="仿宋_GB2312"/>
          <w:bCs/>
          <w:kern w:val="44"/>
          <w:sz w:val="32"/>
          <w:szCs w:val="32"/>
        </w:rPr>
        <w:t>万元。项目支出主要用于一般公共服务（类）支出910.56万元，主要成效是</w:t>
      </w:r>
      <w:r>
        <w:rPr>
          <w:rFonts w:hint="eastAsia" w:ascii="仿宋_GB2312" w:eastAsia="仿宋_GB2312"/>
          <w:sz w:val="32"/>
          <w:szCs w:val="32"/>
        </w:rPr>
        <w:t>乡镇运转以及围绕全区经济和社会发展及区委、区政府的中心工作，搞好社区(村)服务，发展壮大街道经济，搞好社会治安综合治理管理工作，维护社会稳定</w:t>
      </w:r>
      <w:r>
        <w:rPr>
          <w:rStyle w:val="10"/>
          <w:rFonts w:hint="eastAsia" w:ascii="仿宋_GB2312" w:eastAsia="仿宋_GB2312"/>
          <w:bCs/>
          <w:kern w:val="44"/>
          <w:sz w:val="32"/>
          <w:szCs w:val="32"/>
        </w:rPr>
        <w:t>；公共安全支出10.00万元，保障了消防安全；教育支出3.00万元，</w:t>
      </w:r>
      <w:r>
        <w:rPr>
          <w:rFonts w:hint="eastAsia"/>
          <w:b/>
          <w:color w:val="333333"/>
          <w:sz w:val="32"/>
          <w:szCs w:val="32"/>
        </w:rPr>
        <w:t>主要用于教育精细化管理工作；</w:t>
      </w:r>
      <w:r>
        <w:rPr>
          <w:rStyle w:val="10"/>
          <w:rFonts w:hint="eastAsia" w:ascii="仿宋_GB2312" w:eastAsia="仿宋_GB2312"/>
          <w:bCs/>
          <w:kern w:val="44"/>
          <w:sz w:val="32"/>
          <w:szCs w:val="32"/>
        </w:rPr>
        <w:t>文化体育与传媒支出18.57万元，</w:t>
      </w:r>
      <w:r>
        <w:rPr>
          <w:rFonts w:hint="eastAsia"/>
          <w:b/>
          <w:color w:val="333333"/>
          <w:sz w:val="32"/>
          <w:szCs w:val="32"/>
        </w:rPr>
        <w:t>主要用于</w:t>
      </w:r>
      <w:r>
        <w:rPr>
          <w:rFonts w:hint="eastAsia" w:ascii="仿宋_GB2312" w:eastAsia="仿宋_GB2312"/>
          <w:sz w:val="32"/>
          <w:szCs w:val="32"/>
        </w:rPr>
        <w:t>1、基层文化建设和综合文化站免费开放工作推动文体活动经常化，</w:t>
      </w:r>
      <w:r>
        <w:rPr>
          <w:rFonts w:hint="eastAsia" w:ascii="仿宋_GB2312" w:eastAsia="仿宋_GB2312" w:cs="Arial"/>
          <w:color w:val="333333"/>
          <w:sz w:val="32"/>
          <w:szCs w:val="32"/>
        </w:rPr>
        <w:t>让农民的业余文化生活得到满足和提升</w:t>
      </w:r>
      <w:r>
        <w:rPr>
          <w:rFonts w:hint="eastAsia" w:ascii="仿宋_GB2312" w:eastAsia="仿宋_GB2312"/>
          <w:sz w:val="32"/>
          <w:szCs w:val="32"/>
        </w:rPr>
        <w:t>，宏扬了民族文化，丰富农村文化生活，激发全乡人民创业热情；2、解决了文体服务中心人员服务经费正常运转；</w:t>
      </w:r>
      <w:r>
        <w:rPr>
          <w:rStyle w:val="10"/>
          <w:rFonts w:hint="eastAsia" w:ascii="仿宋_GB2312" w:eastAsia="仿宋_GB2312"/>
          <w:bCs/>
          <w:kern w:val="44"/>
          <w:sz w:val="32"/>
          <w:szCs w:val="32"/>
        </w:rPr>
        <w:t>社会保障和就业支出130.6万元，主要用于基层政权和社区建设、农村特困人员救助及其他就业补助等；医疗卫生与计划生育支出194.41万元，主要用于乡镇卫生院及</w:t>
      </w:r>
      <w:r>
        <w:rPr>
          <w:rFonts w:hint="eastAsia" w:ascii="仿宋_GB2312" w:eastAsia="仿宋_GB2312"/>
          <w:sz w:val="32"/>
          <w:szCs w:val="32"/>
        </w:rPr>
        <w:t>落实计划生育政策，加强了辖区城市育龄妇女和流动人口计划生育的科学化管理等工作；</w:t>
      </w:r>
      <w:r>
        <w:rPr>
          <w:rStyle w:val="10"/>
          <w:rFonts w:hint="eastAsia" w:ascii="仿宋_GB2312" w:eastAsia="仿宋_GB2312"/>
          <w:bCs/>
          <w:kern w:val="44"/>
          <w:sz w:val="32"/>
          <w:szCs w:val="32"/>
        </w:rPr>
        <w:t>节能环保支出1,200.00万元，主要用于污水防治，</w:t>
      </w:r>
      <w:r>
        <w:rPr>
          <w:rFonts w:hint="eastAsia" w:ascii="仿宋" w:hAnsi="仿宋" w:eastAsia="仿宋"/>
          <w:sz w:val="32"/>
          <w:szCs w:val="32"/>
        </w:rPr>
        <w:t>三闸泵站河、什仔湖泵站、小菜湖泵站河清理等；</w:t>
      </w:r>
      <w:r>
        <w:rPr>
          <w:rStyle w:val="10"/>
          <w:rFonts w:hint="eastAsia" w:ascii="仿宋_GB2312" w:eastAsia="仿宋_GB2312"/>
          <w:bCs/>
          <w:kern w:val="44"/>
          <w:sz w:val="32"/>
          <w:szCs w:val="32"/>
        </w:rPr>
        <w:t>城乡社区支出23,399.86万元，</w:t>
      </w:r>
      <w:r>
        <w:rPr>
          <w:rFonts w:hint="eastAsia" w:ascii="仿宋_GB2312" w:eastAsia="仿宋_GB2312"/>
          <w:sz w:val="32"/>
          <w:szCs w:val="32"/>
        </w:rPr>
        <w:t>主要用于小城镇建设以及改善街道环境卫生等;</w:t>
      </w:r>
      <w:r>
        <w:rPr>
          <w:rStyle w:val="10"/>
          <w:rFonts w:hint="eastAsia" w:ascii="仿宋_GB2312" w:eastAsia="仿宋_GB2312"/>
          <w:bCs/>
          <w:kern w:val="44"/>
          <w:sz w:val="32"/>
          <w:szCs w:val="32"/>
        </w:rPr>
        <w:t xml:space="preserve"> 农林水支出898.82万元，</w:t>
      </w:r>
      <w:r>
        <w:rPr>
          <w:rFonts w:hint="eastAsia"/>
          <w:b/>
          <w:color w:val="333333"/>
          <w:sz w:val="32"/>
          <w:szCs w:val="32"/>
        </w:rPr>
        <w:t>主要成效：</w:t>
      </w:r>
      <w:r>
        <w:rPr>
          <w:rFonts w:hint="eastAsia" w:ascii="仿宋_GB2312" w:eastAsia="仿宋_GB2312"/>
          <w:sz w:val="32"/>
          <w:szCs w:val="32"/>
        </w:rPr>
        <w:t>1、改善了全街行政村农田灌溉用水、人畜生活用水的实际困难；2、改善了全街行政村的安全生产和交通出行方便；3、解决了农业综合服务中心人员服务经费正常运转；4、村级转移支付资金解决村级工作正常运转；</w:t>
      </w:r>
      <w:r>
        <w:rPr>
          <w:rStyle w:val="10"/>
          <w:rFonts w:hint="eastAsia" w:ascii="仿宋_GB2312" w:eastAsia="仿宋_GB2312"/>
          <w:bCs/>
          <w:kern w:val="44"/>
          <w:sz w:val="32"/>
          <w:szCs w:val="32"/>
        </w:rPr>
        <w:t>国土海洋气象等支出95.86万元，</w:t>
      </w:r>
      <w:r>
        <w:rPr>
          <w:rFonts w:hint="eastAsia"/>
          <w:b/>
          <w:color w:val="333333"/>
          <w:sz w:val="32"/>
          <w:szCs w:val="32"/>
        </w:rPr>
        <w:t>主要成效：</w:t>
      </w:r>
      <w:r>
        <w:rPr>
          <w:rFonts w:hint="eastAsia" w:ascii="仿宋_GB2312" w:eastAsia="仿宋_GB2312"/>
          <w:sz w:val="32"/>
          <w:szCs w:val="32"/>
        </w:rPr>
        <w:t>1、落实了街道</w:t>
      </w:r>
      <w:r>
        <w:rPr>
          <w:rFonts w:hint="eastAsia" w:ascii="仿宋_GB2312" w:eastAsia="仿宋_GB2312" w:cs="Arial"/>
          <w:color w:val="333333"/>
          <w:sz w:val="32"/>
          <w:szCs w:val="32"/>
        </w:rPr>
        <w:t>土地资源调查、土地分等定级，</w:t>
      </w:r>
      <w:r>
        <w:rPr>
          <w:rFonts w:hint="eastAsia" w:ascii="仿宋_GB2312" w:eastAsia="仿宋_GB2312" w:cs="Arial"/>
          <w:color w:val="333333"/>
          <w:spacing w:val="-11"/>
          <w:sz w:val="32"/>
          <w:szCs w:val="32"/>
        </w:rPr>
        <w:t>土地登记、土地统计、地籍档案管理、土地证书核发和土地动态监测管理工作；</w:t>
      </w:r>
      <w:r>
        <w:rPr>
          <w:rFonts w:hint="eastAsia" w:ascii="仿宋_GB2312" w:eastAsia="仿宋_GB2312"/>
          <w:sz w:val="32"/>
          <w:szCs w:val="32"/>
        </w:rPr>
        <w:t>2、解决了国土资源服务中心人员服务经费以及机构正常运转。</w:t>
      </w:r>
    </w:p>
    <w:p>
      <w:pPr>
        <w:adjustRightInd w:val="0"/>
        <w:snapToGrid w:val="0"/>
        <w:spacing w:line="580" w:lineRule="atLeast"/>
        <w:ind w:firstLine="640" w:firstLineChars="200"/>
        <w:jc w:val="both"/>
      </w:pPr>
      <w:r>
        <w:rPr>
          <w:rFonts w:hint="eastAsia" w:ascii="楷体_GB2312" w:eastAsia="楷体_GB2312"/>
          <w:bCs/>
          <w:kern w:val="44"/>
          <w:sz w:val="32"/>
          <w:szCs w:val="32"/>
        </w:rPr>
        <w:t>1.一般公共服务支出(类)。</w:t>
      </w:r>
      <w:r>
        <w:rPr>
          <w:rFonts w:hint="eastAsia" w:ascii="仿宋_GB2312" w:eastAsia="仿宋_GB2312"/>
          <w:bCs/>
          <w:kern w:val="44"/>
          <w:sz w:val="32"/>
          <w:szCs w:val="32"/>
        </w:rPr>
        <w:t>年初预算为</w:t>
      </w:r>
      <w:r>
        <w:rPr>
          <w:rStyle w:val="10"/>
          <w:rFonts w:hint="eastAsia" w:ascii="仿宋_GB2312" w:eastAsia="仿宋_GB2312"/>
          <w:bCs/>
          <w:kern w:val="44"/>
          <w:sz w:val="32"/>
          <w:szCs w:val="32"/>
        </w:rPr>
        <w:t>1,336.64万元，支出决算为2,264.43万元，完成年初预算的169.40%，主要原因是年中追加运转经费预算</w:t>
      </w:r>
    </w:p>
    <w:p>
      <w:pPr>
        <w:pStyle w:val="9"/>
        <w:snapToGrid w:val="0"/>
        <w:spacing w:before="0" w:beforeAutospacing="0" w:after="0" w:afterAutospacing="0" w:line="580" w:lineRule="atLeast"/>
        <w:ind w:firstLine="640" w:firstLineChars="200"/>
        <w:jc w:val="both"/>
      </w:pPr>
      <w:r>
        <w:rPr>
          <w:rFonts w:hint="eastAsia" w:ascii="楷体_GB2312" w:eastAsia="楷体_GB2312" w:cs="Times New Roman"/>
          <w:bCs/>
          <w:kern w:val="44"/>
          <w:sz w:val="32"/>
          <w:szCs w:val="32"/>
        </w:rPr>
        <w:t>2.</w:t>
      </w:r>
      <w:r>
        <w:rPr>
          <w:rFonts w:hint="eastAsia" w:ascii="楷体_GB2312" w:eastAsia="楷体_GB2312"/>
          <w:bCs/>
          <w:kern w:val="44"/>
          <w:sz w:val="32"/>
          <w:szCs w:val="32"/>
        </w:rPr>
        <w:t>公共安全支出(类)。</w:t>
      </w:r>
      <w:r>
        <w:rPr>
          <w:rFonts w:hint="eastAsia"/>
          <w:bCs/>
          <w:kern w:val="44"/>
          <w:sz w:val="32"/>
          <w:szCs w:val="32"/>
        </w:rPr>
        <w:t>年初预算为</w:t>
      </w:r>
      <w:r>
        <w:rPr>
          <w:rStyle w:val="10"/>
          <w:rFonts w:hint="eastAsia"/>
          <w:bCs/>
          <w:kern w:val="44"/>
          <w:sz w:val="32"/>
          <w:szCs w:val="32"/>
        </w:rPr>
        <w:t>0.00万元，支出决算为10.00万元，完成年初预算的0%，主要原因追加消防经费预算。</w:t>
      </w:r>
    </w:p>
    <w:p>
      <w:pPr>
        <w:pStyle w:val="9"/>
        <w:snapToGrid w:val="0"/>
        <w:spacing w:before="0" w:beforeAutospacing="0" w:after="0" w:afterAutospacing="0" w:line="580" w:lineRule="atLeast"/>
        <w:ind w:firstLine="640" w:firstLineChars="200"/>
        <w:jc w:val="both"/>
      </w:pPr>
      <w:r>
        <w:rPr>
          <w:rFonts w:hint="eastAsia" w:ascii="楷体_GB2312" w:eastAsia="楷体_GB2312" w:cs="Times New Roman"/>
          <w:bCs/>
          <w:kern w:val="44"/>
          <w:sz w:val="32"/>
          <w:szCs w:val="32"/>
        </w:rPr>
        <w:t>3.</w:t>
      </w:r>
      <w:r>
        <w:rPr>
          <w:rFonts w:hint="eastAsia" w:ascii="楷体_GB2312" w:eastAsia="楷体_GB2312"/>
          <w:bCs/>
          <w:kern w:val="44"/>
          <w:sz w:val="32"/>
          <w:szCs w:val="32"/>
        </w:rPr>
        <w:t>教育支出(类)。</w:t>
      </w:r>
      <w:r>
        <w:rPr>
          <w:rFonts w:hint="eastAsia"/>
          <w:bCs/>
          <w:kern w:val="44"/>
          <w:sz w:val="32"/>
          <w:szCs w:val="32"/>
        </w:rPr>
        <w:t>年初预算为</w:t>
      </w:r>
      <w:r>
        <w:rPr>
          <w:rStyle w:val="10"/>
          <w:rFonts w:hint="eastAsia"/>
          <w:bCs/>
          <w:kern w:val="44"/>
          <w:sz w:val="32"/>
          <w:szCs w:val="32"/>
        </w:rPr>
        <w:t>0.00万元，支出决算为3.00万元，完成年初预算的0%，主要原因是追加。精细化标准化管理经费预算。</w:t>
      </w:r>
    </w:p>
    <w:p>
      <w:pPr>
        <w:pStyle w:val="9"/>
        <w:snapToGrid w:val="0"/>
        <w:spacing w:before="0" w:beforeAutospacing="0" w:after="0" w:afterAutospacing="0" w:line="580" w:lineRule="atLeast"/>
        <w:ind w:firstLine="640" w:firstLineChars="200"/>
        <w:jc w:val="both"/>
        <w:rPr>
          <w:rStyle w:val="10"/>
          <w:bCs/>
          <w:kern w:val="44"/>
          <w:sz w:val="32"/>
          <w:szCs w:val="32"/>
        </w:rPr>
      </w:pPr>
      <w:r>
        <w:rPr>
          <w:rFonts w:hint="eastAsia" w:ascii="楷体_GB2312" w:eastAsia="楷体_GB2312" w:cs="Times New Roman"/>
          <w:bCs/>
          <w:kern w:val="44"/>
          <w:sz w:val="32"/>
          <w:szCs w:val="32"/>
        </w:rPr>
        <w:t>4.</w:t>
      </w:r>
      <w:r>
        <w:rPr>
          <w:rFonts w:hint="eastAsia" w:ascii="楷体_GB2312" w:eastAsia="楷体_GB2312"/>
          <w:bCs/>
          <w:kern w:val="44"/>
          <w:sz w:val="32"/>
          <w:szCs w:val="32"/>
        </w:rPr>
        <w:t>文化体育与传媒支出(类)。</w:t>
      </w:r>
      <w:r>
        <w:rPr>
          <w:rFonts w:hint="eastAsia"/>
          <w:bCs/>
          <w:kern w:val="44"/>
          <w:sz w:val="32"/>
          <w:szCs w:val="32"/>
        </w:rPr>
        <w:t>年初预算为</w:t>
      </w:r>
      <w:r>
        <w:rPr>
          <w:rStyle w:val="10"/>
          <w:rFonts w:hint="eastAsia"/>
          <w:bCs/>
          <w:kern w:val="44"/>
          <w:sz w:val="32"/>
          <w:szCs w:val="32"/>
        </w:rPr>
        <w:t>13.57万元，支出决算为18.57万元，完成年初预算的136.80%，主要原因是追加基层公共文化服务体系建设补助预算。</w:t>
      </w:r>
    </w:p>
    <w:p>
      <w:pPr>
        <w:pStyle w:val="9"/>
        <w:snapToGrid w:val="0"/>
        <w:spacing w:before="0" w:beforeAutospacing="0" w:after="0" w:afterAutospacing="0" w:line="580" w:lineRule="atLeast"/>
        <w:ind w:firstLine="640" w:firstLineChars="200"/>
        <w:jc w:val="both"/>
      </w:pPr>
      <w:r>
        <w:rPr>
          <w:rFonts w:hint="eastAsia" w:ascii="楷体_GB2312" w:eastAsia="楷体_GB2312" w:cs="Times New Roman"/>
          <w:bCs/>
          <w:kern w:val="44"/>
          <w:sz w:val="32"/>
          <w:szCs w:val="32"/>
        </w:rPr>
        <w:t>5.</w:t>
      </w:r>
      <w:r>
        <w:rPr>
          <w:rFonts w:hint="eastAsia" w:ascii="楷体_GB2312" w:eastAsia="楷体_GB2312"/>
          <w:bCs/>
          <w:kern w:val="44"/>
          <w:sz w:val="32"/>
          <w:szCs w:val="32"/>
        </w:rPr>
        <w:t>社会保障和就业支出(类)。</w:t>
      </w:r>
      <w:r>
        <w:rPr>
          <w:rFonts w:hint="eastAsia"/>
          <w:bCs/>
          <w:kern w:val="44"/>
          <w:sz w:val="32"/>
          <w:szCs w:val="32"/>
        </w:rPr>
        <w:t>年初预算为</w:t>
      </w:r>
      <w:r>
        <w:rPr>
          <w:rStyle w:val="10"/>
          <w:rFonts w:hint="eastAsia"/>
          <w:bCs/>
          <w:kern w:val="44"/>
          <w:sz w:val="32"/>
          <w:szCs w:val="32"/>
        </w:rPr>
        <w:t>707.18万元，支出决算为852.00万元，完成年初预算的120.50%，主要原因追加了预算指标。</w:t>
      </w:r>
    </w:p>
    <w:p>
      <w:pPr>
        <w:pStyle w:val="9"/>
        <w:snapToGrid w:val="0"/>
        <w:spacing w:before="0" w:beforeAutospacing="0" w:after="0" w:afterAutospacing="0" w:line="580" w:lineRule="atLeast"/>
        <w:ind w:firstLine="640" w:firstLineChars="200"/>
        <w:jc w:val="both"/>
      </w:pPr>
      <w:r>
        <w:rPr>
          <w:rFonts w:hint="eastAsia" w:ascii="楷体_GB2312" w:eastAsia="楷体_GB2312" w:cs="Times New Roman"/>
          <w:bCs/>
          <w:kern w:val="44"/>
          <w:sz w:val="32"/>
          <w:szCs w:val="32"/>
        </w:rPr>
        <w:t>8.</w:t>
      </w:r>
      <w:r>
        <w:rPr>
          <w:rFonts w:hint="eastAsia" w:ascii="楷体_GB2312" w:eastAsia="楷体_GB2312"/>
          <w:bCs/>
          <w:kern w:val="44"/>
          <w:sz w:val="32"/>
          <w:szCs w:val="32"/>
        </w:rPr>
        <w:t>医疗卫生与计划生育支出(类)。</w:t>
      </w:r>
      <w:r>
        <w:rPr>
          <w:rFonts w:hint="eastAsia"/>
          <w:bCs/>
          <w:kern w:val="44"/>
          <w:sz w:val="32"/>
          <w:szCs w:val="32"/>
        </w:rPr>
        <w:t>年初预算为</w:t>
      </w:r>
      <w:r>
        <w:rPr>
          <w:rStyle w:val="10"/>
          <w:rFonts w:hint="eastAsia"/>
          <w:bCs/>
          <w:kern w:val="44"/>
          <w:sz w:val="32"/>
          <w:szCs w:val="32"/>
        </w:rPr>
        <w:t>186.52万元，支出决算为331.52万元，完成年初预算的177.70%，主要原因是追加了基本卫生服务预算。</w:t>
      </w:r>
    </w:p>
    <w:p>
      <w:pPr>
        <w:pStyle w:val="9"/>
        <w:snapToGrid w:val="0"/>
        <w:spacing w:before="0" w:beforeAutospacing="0" w:after="0" w:afterAutospacing="0" w:line="580" w:lineRule="atLeast"/>
        <w:ind w:firstLine="640" w:firstLineChars="200"/>
        <w:jc w:val="both"/>
      </w:pPr>
      <w:r>
        <w:rPr>
          <w:rFonts w:hint="eastAsia" w:ascii="楷体_GB2312" w:eastAsia="楷体_GB2312" w:cs="Times New Roman"/>
          <w:bCs/>
          <w:kern w:val="44"/>
          <w:sz w:val="32"/>
          <w:szCs w:val="32"/>
        </w:rPr>
        <w:t>9.</w:t>
      </w:r>
      <w:r>
        <w:rPr>
          <w:rFonts w:hint="eastAsia" w:ascii="楷体_GB2312" w:eastAsia="楷体_GB2312"/>
          <w:bCs/>
          <w:kern w:val="44"/>
          <w:sz w:val="32"/>
          <w:szCs w:val="32"/>
        </w:rPr>
        <w:t>节能环保支出(类)。</w:t>
      </w:r>
      <w:r>
        <w:rPr>
          <w:rFonts w:hint="eastAsia"/>
          <w:bCs/>
          <w:kern w:val="44"/>
          <w:sz w:val="32"/>
          <w:szCs w:val="32"/>
        </w:rPr>
        <w:t>年初预算为</w:t>
      </w:r>
      <w:r>
        <w:rPr>
          <w:rStyle w:val="10"/>
          <w:rFonts w:hint="eastAsia"/>
          <w:bCs/>
          <w:kern w:val="44"/>
          <w:sz w:val="32"/>
          <w:szCs w:val="32"/>
        </w:rPr>
        <w:t>0.00万元，支出决算为1,200.00万元，完成年初预算的0%，主要原因是追加了污水防治预算。</w:t>
      </w:r>
    </w:p>
    <w:p>
      <w:pPr>
        <w:pStyle w:val="9"/>
        <w:snapToGrid w:val="0"/>
        <w:spacing w:before="0" w:beforeAutospacing="0" w:after="0" w:afterAutospacing="0" w:line="580" w:lineRule="atLeast"/>
        <w:ind w:firstLine="640" w:firstLineChars="200"/>
        <w:jc w:val="both"/>
      </w:pPr>
      <w:r>
        <w:rPr>
          <w:rFonts w:hint="eastAsia" w:ascii="楷体_GB2312" w:eastAsia="楷体_GB2312" w:cs="Times New Roman"/>
          <w:bCs/>
          <w:kern w:val="44"/>
          <w:sz w:val="32"/>
          <w:szCs w:val="32"/>
        </w:rPr>
        <w:t>10.</w:t>
      </w:r>
      <w:r>
        <w:rPr>
          <w:rFonts w:hint="eastAsia" w:ascii="楷体_GB2312" w:eastAsia="楷体_GB2312"/>
          <w:bCs/>
          <w:kern w:val="44"/>
          <w:sz w:val="32"/>
          <w:szCs w:val="32"/>
        </w:rPr>
        <w:t>城乡社区支出(类)。</w:t>
      </w:r>
      <w:r>
        <w:rPr>
          <w:rFonts w:hint="eastAsia"/>
          <w:bCs/>
          <w:kern w:val="44"/>
          <w:sz w:val="32"/>
          <w:szCs w:val="32"/>
        </w:rPr>
        <w:t>年初预算为</w:t>
      </w:r>
      <w:r>
        <w:rPr>
          <w:rStyle w:val="10"/>
          <w:rFonts w:hint="eastAsia"/>
          <w:bCs/>
          <w:kern w:val="44"/>
          <w:sz w:val="32"/>
          <w:szCs w:val="32"/>
        </w:rPr>
        <w:t>14,000.00万元，支出决算为23,399.86万元，完成年初预算的167.10%，主要原因是追加了建设经费补助。</w:t>
      </w:r>
    </w:p>
    <w:p>
      <w:pPr>
        <w:pStyle w:val="9"/>
        <w:snapToGrid w:val="0"/>
        <w:spacing w:before="0" w:beforeAutospacing="0" w:after="0" w:afterAutospacing="0" w:line="580" w:lineRule="atLeast"/>
        <w:ind w:firstLine="640" w:firstLineChars="200"/>
        <w:jc w:val="both"/>
      </w:pPr>
      <w:r>
        <w:rPr>
          <w:rFonts w:hint="eastAsia" w:ascii="楷体_GB2312" w:eastAsia="楷体_GB2312" w:cs="Times New Roman"/>
          <w:bCs/>
          <w:kern w:val="44"/>
          <w:sz w:val="32"/>
          <w:szCs w:val="32"/>
        </w:rPr>
        <w:t>11.</w:t>
      </w:r>
      <w:r>
        <w:rPr>
          <w:rFonts w:hint="eastAsia" w:ascii="楷体_GB2312" w:eastAsia="楷体_GB2312"/>
          <w:bCs/>
          <w:kern w:val="44"/>
          <w:sz w:val="32"/>
          <w:szCs w:val="32"/>
        </w:rPr>
        <w:t>农林水支出(类)。</w:t>
      </w:r>
      <w:r>
        <w:rPr>
          <w:rFonts w:hint="eastAsia"/>
          <w:bCs/>
          <w:kern w:val="44"/>
          <w:sz w:val="32"/>
          <w:szCs w:val="32"/>
        </w:rPr>
        <w:t>年初预算为</w:t>
      </w:r>
      <w:r>
        <w:rPr>
          <w:rStyle w:val="10"/>
          <w:rFonts w:hint="eastAsia"/>
          <w:bCs/>
          <w:kern w:val="44"/>
          <w:sz w:val="32"/>
          <w:szCs w:val="32"/>
        </w:rPr>
        <w:t>886.66万元，支出决算为1,034.39万元，完成年初预算的116.70%，主要原因是追加了农业、水利项目预算。</w:t>
      </w:r>
    </w:p>
    <w:p>
      <w:pPr>
        <w:pStyle w:val="9"/>
        <w:snapToGrid w:val="0"/>
        <w:spacing w:before="0" w:beforeAutospacing="0" w:after="0" w:afterAutospacing="0" w:line="580" w:lineRule="atLeast"/>
        <w:ind w:firstLine="640" w:firstLineChars="200"/>
        <w:jc w:val="both"/>
      </w:pPr>
      <w:r>
        <w:rPr>
          <w:rFonts w:hint="eastAsia" w:ascii="楷体_GB2312" w:eastAsia="楷体_GB2312" w:cs="Times New Roman"/>
          <w:bCs/>
          <w:kern w:val="44"/>
          <w:sz w:val="32"/>
          <w:szCs w:val="32"/>
        </w:rPr>
        <w:t>12.</w:t>
      </w:r>
      <w:r>
        <w:rPr>
          <w:rFonts w:hint="eastAsia" w:ascii="楷体_GB2312" w:eastAsia="楷体_GB2312"/>
          <w:bCs/>
          <w:kern w:val="44"/>
          <w:sz w:val="32"/>
          <w:szCs w:val="32"/>
        </w:rPr>
        <w:t>国土海洋气象等支出(类)。</w:t>
      </w:r>
      <w:r>
        <w:rPr>
          <w:rFonts w:hint="eastAsia"/>
          <w:bCs/>
          <w:kern w:val="44"/>
          <w:sz w:val="32"/>
          <w:szCs w:val="32"/>
        </w:rPr>
        <w:t>年初预算为</w:t>
      </w:r>
      <w:r>
        <w:rPr>
          <w:rStyle w:val="10"/>
          <w:rFonts w:hint="eastAsia"/>
          <w:bCs/>
          <w:kern w:val="44"/>
          <w:sz w:val="32"/>
          <w:szCs w:val="32"/>
        </w:rPr>
        <w:t>95.86万元，支出决算为95.86万元，完成年初预算的100.00%。</w:t>
      </w:r>
    </w:p>
    <w:p>
      <w:pPr>
        <w:pStyle w:val="9"/>
        <w:snapToGrid w:val="0"/>
        <w:spacing w:before="0" w:beforeAutospacing="0" w:after="0" w:afterAutospacing="0" w:line="580" w:lineRule="atLeast"/>
        <w:ind w:firstLine="640" w:firstLineChars="200"/>
        <w:jc w:val="both"/>
      </w:pPr>
      <w:r>
        <w:rPr>
          <w:rFonts w:hint="eastAsia" w:ascii="楷体_GB2312" w:eastAsia="楷体_GB2312" w:cs="Times New Roman"/>
          <w:bCs/>
          <w:kern w:val="44"/>
          <w:sz w:val="32"/>
          <w:szCs w:val="32"/>
        </w:rPr>
        <w:t>13.</w:t>
      </w:r>
      <w:r>
        <w:rPr>
          <w:rFonts w:hint="eastAsia" w:ascii="楷体_GB2312" w:eastAsia="楷体_GB2312"/>
          <w:bCs/>
          <w:kern w:val="44"/>
          <w:sz w:val="32"/>
          <w:szCs w:val="32"/>
        </w:rPr>
        <w:t>住房保障支出(类)。</w:t>
      </w:r>
      <w:r>
        <w:rPr>
          <w:rFonts w:hint="eastAsia"/>
          <w:bCs/>
          <w:kern w:val="44"/>
          <w:sz w:val="32"/>
          <w:szCs w:val="32"/>
        </w:rPr>
        <w:t>年初预算为</w:t>
      </w:r>
      <w:r>
        <w:rPr>
          <w:rStyle w:val="10"/>
          <w:rFonts w:hint="eastAsia"/>
          <w:bCs/>
          <w:kern w:val="44"/>
          <w:sz w:val="32"/>
          <w:szCs w:val="32"/>
        </w:rPr>
        <w:t>95.83万元，支出决算为175.04万元，完成年初预算的182.60%，收入基数增长。</w:t>
      </w:r>
    </w:p>
    <w:p>
      <w:pPr>
        <w:pStyle w:val="9"/>
        <w:snapToGrid w:val="0"/>
        <w:spacing w:before="0" w:beforeAutospacing="0" w:after="0" w:afterAutospacing="0" w:line="580" w:lineRule="atLeast"/>
        <w:ind w:firstLine="640" w:firstLineChars="200"/>
        <w:jc w:val="both"/>
      </w:pPr>
      <w:r>
        <w:rPr>
          <w:rFonts w:hint="eastAsia" w:ascii="楷体_GB2312" w:eastAsia="楷体_GB2312" w:cs="Times New Roman"/>
          <w:bCs/>
          <w:kern w:val="44"/>
          <w:sz w:val="32"/>
          <w:szCs w:val="32"/>
        </w:rPr>
        <w:t> </w:t>
      </w:r>
    </w:p>
    <w:p>
      <w:pPr>
        <w:pStyle w:val="9"/>
        <w:snapToGrid w:val="0"/>
        <w:spacing w:before="0" w:beforeAutospacing="0" w:after="0" w:afterAutospacing="0" w:line="580" w:lineRule="atLeast"/>
        <w:ind w:firstLine="640" w:firstLineChars="200"/>
        <w:jc w:val="both"/>
      </w:pPr>
      <w:r>
        <w:rPr>
          <w:rFonts w:hint="eastAsia" w:ascii="黑体" w:hAnsi="Times New Roman" w:eastAsia="黑体"/>
          <w:sz w:val="32"/>
          <w:szCs w:val="32"/>
        </w:rPr>
        <w:t>六、</w:t>
      </w:r>
      <w:r>
        <w:rPr>
          <w:rFonts w:hint="eastAsia" w:ascii="黑体" w:eastAsia="黑体"/>
          <w:bCs/>
          <w:sz w:val="32"/>
          <w:szCs w:val="32"/>
        </w:rPr>
        <w:t>2018年度一般公共预算财政拨款基本支出决算</w:t>
      </w:r>
      <w:r>
        <w:rPr>
          <w:rFonts w:hint="eastAsia" w:ascii="黑体" w:hAnsi="Times New Roman" w:eastAsia="黑体"/>
          <w:sz w:val="32"/>
          <w:szCs w:val="32"/>
        </w:rPr>
        <w:t>情况</w:t>
      </w:r>
      <w:r>
        <w:rPr>
          <w:rFonts w:hint="eastAsia" w:ascii="黑体" w:hAnsi="黑体" w:eastAsia="黑体"/>
          <w:sz w:val="32"/>
          <w:szCs w:val="32"/>
        </w:rPr>
        <w:t>说明</w:t>
      </w:r>
    </w:p>
    <w:p>
      <w:pPr>
        <w:snapToGrid w:val="0"/>
        <w:spacing w:line="580" w:lineRule="atLeast"/>
        <w:ind w:firstLine="640" w:firstLineChars="200"/>
        <w:jc w:val="both"/>
      </w:pPr>
      <w:r>
        <w:rPr>
          <w:rFonts w:hint="eastAsia" w:ascii="仿宋_GB2312" w:eastAsia="仿宋_GB2312"/>
          <w:bCs/>
          <w:kern w:val="44"/>
          <w:sz w:val="32"/>
          <w:szCs w:val="32"/>
        </w:rPr>
        <w:t>2018度一般公共预算财政拨款基本支出</w:t>
      </w:r>
      <w:r>
        <w:rPr>
          <w:rStyle w:val="10"/>
          <w:rFonts w:hint="eastAsia" w:ascii="仿宋_GB2312" w:eastAsia="仿宋_GB2312"/>
          <w:bCs/>
          <w:kern w:val="44"/>
          <w:sz w:val="32"/>
          <w:szCs w:val="32"/>
        </w:rPr>
        <w:t>2,522.99万元，其中，</w:t>
      </w:r>
      <w:r>
        <w:rPr>
          <w:rStyle w:val="10"/>
          <w:rFonts w:hint="eastAsia" w:ascii="仿宋_GB2312" w:eastAsia="仿宋_GB2312"/>
          <w:b/>
          <w:bCs/>
          <w:kern w:val="44"/>
          <w:sz w:val="32"/>
          <w:szCs w:val="32"/>
        </w:rPr>
        <w:t>人员经费</w:t>
      </w:r>
      <w:r>
        <w:rPr>
          <w:rStyle w:val="10"/>
          <w:rFonts w:hint="eastAsia" w:ascii="仿宋_GB2312" w:eastAsia="仿宋_GB2312"/>
          <w:bCs/>
          <w:kern w:val="44"/>
          <w:sz w:val="32"/>
          <w:szCs w:val="32"/>
        </w:rPr>
        <w:t>2,271.65万元，主要包括：基本工资、津贴补贴、奖金、绩效工资、机关事业单位基本养老保险缴费、职工基本医疗保险缴费、其他社会保障缴费、住房公积金、医疗费、其他工资福利支出、离休费、退休费、抚恤金、生活补助、其他对个人和家庭的补助支出；</w:t>
      </w:r>
      <w:r>
        <w:rPr>
          <w:rStyle w:val="10"/>
          <w:rFonts w:hint="eastAsia" w:ascii="仿宋_GB2312" w:eastAsia="仿宋_GB2312"/>
          <w:b/>
          <w:bCs/>
          <w:kern w:val="44"/>
          <w:sz w:val="32"/>
          <w:szCs w:val="32"/>
        </w:rPr>
        <w:t>公用经费</w:t>
      </w:r>
      <w:r>
        <w:rPr>
          <w:rStyle w:val="10"/>
          <w:rFonts w:hint="eastAsia" w:ascii="仿宋_GB2312" w:eastAsia="仿宋_GB2312"/>
          <w:bCs/>
          <w:kern w:val="44"/>
          <w:sz w:val="32"/>
          <w:szCs w:val="32"/>
        </w:rPr>
        <w:t>251.35万元，主要包括：办公费、印刷费、水费、电费、邮电费、取暖费、差旅费、维修(护)费、会议费、培训费、公务接待费、劳务费、委托业务费、工会经费、福利费、公务用车运行维护费、其他交通费用、其他商品和服务支出、办公设备购置。</w:t>
      </w:r>
    </w:p>
    <w:p>
      <w:pPr>
        <w:adjustRightInd w:val="0"/>
        <w:snapToGrid w:val="0"/>
        <w:spacing w:line="580" w:lineRule="atLeast"/>
        <w:ind w:firstLine="640" w:firstLineChars="200"/>
        <w:jc w:val="both"/>
      </w:pPr>
      <w:r>
        <w:rPr>
          <w:rFonts w:hint="eastAsia" w:ascii="黑体" w:hAnsi="Times New Roman" w:eastAsia="黑体"/>
          <w:sz w:val="32"/>
          <w:szCs w:val="32"/>
        </w:rPr>
        <w:t>七、2018年度一般公共预算财政拨款“三公</w:t>
      </w:r>
      <w:r>
        <w:rPr>
          <w:rFonts w:hint="eastAsia" w:ascii="黑体" w:hAnsi="Times New Roman" w:eastAsia="黑体" w:cs="仿宋"/>
          <w:sz w:val="32"/>
          <w:szCs w:val="32"/>
        </w:rPr>
        <w:t>”</w:t>
      </w:r>
      <w:r>
        <w:rPr>
          <w:rFonts w:hint="eastAsia" w:ascii="黑体" w:hAnsi="Times New Roman" w:eastAsia="黑体"/>
          <w:sz w:val="32"/>
          <w:szCs w:val="32"/>
        </w:rPr>
        <w:t>经费支出决算情况</w:t>
      </w:r>
      <w:r>
        <w:rPr>
          <w:rFonts w:hint="eastAsia" w:ascii="黑体" w:hAnsi="黑体" w:eastAsia="黑体"/>
          <w:sz w:val="32"/>
          <w:szCs w:val="32"/>
        </w:rPr>
        <w:t>说明</w:t>
      </w:r>
    </w:p>
    <w:p>
      <w:pPr>
        <w:adjustRightInd w:val="0"/>
        <w:snapToGrid w:val="0"/>
        <w:spacing w:line="580" w:lineRule="atLeast"/>
        <w:ind w:firstLine="640" w:firstLineChars="200"/>
        <w:jc w:val="both"/>
      </w:pPr>
      <w:r>
        <w:rPr>
          <w:rFonts w:hint="eastAsia" w:ascii="楷体_GB2312" w:eastAsia="楷体_GB2312"/>
          <w:bCs/>
          <w:kern w:val="44"/>
          <w:sz w:val="32"/>
          <w:szCs w:val="32"/>
        </w:rPr>
        <w:t>(一)“三公”经费的单位范围。</w:t>
      </w:r>
    </w:p>
    <w:p>
      <w:pPr>
        <w:adjustRightInd w:val="0"/>
        <w:snapToGrid w:val="0"/>
        <w:spacing w:line="580" w:lineRule="atLeast"/>
        <w:ind w:firstLine="640" w:firstLineChars="200"/>
        <w:jc w:val="both"/>
      </w:pPr>
      <w:r>
        <w:rPr>
          <w:rStyle w:val="10"/>
          <w:rFonts w:hint="eastAsia" w:ascii="仿宋_GB2312" w:hAnsi="？？" w:eastAsia="仿宋_GB2312"/>
          <w:color w:val="000000"/>
          <w:sz w:val="32"/>
          <w:szCs w:val="32"/>
        </w:rPr>
        <w:t>武汉市黄陂区滠口街道办事处有一般公共预算财政拨款预算安排“三公”经费的单位包括武汉市黄陂区滠口街道办事处本级及下属1</w:t>
      </w:r>
      <w:r>
        <w:rPr>
          <w:rFonts w:hint="eastAsia" w:ascii="仿宋_GB2312" w:hAnsi="？？" w:eastAsia="仿宋_GB2312"/>
          <w:color w:val="000000"/>
          <w:sz w:val="32"/>
          <w:szCs w:val="32"/>
        </w:rPr>
        <w:t>个</w:t>
      </w:r>
      <w:r>
        <w:rPr>
          <w:rStyle w:val="10"/>
          <w:rFonts w:hint="eastAsia" w:ascii="仿宋_GB2312" w:hAnsi="？？" w:eastAsia="仿宋_GB2312"/>
          <w:color w:val="000000"/>
          <w:sz w:val="32"/>
          <w:szCs w:val="32"/>
        </w:rPr>
        <w:t>行政单位、2</w:t>
      </w:r>
      <w:r>
        <w:rPr>
          <w:rFonts w:hint="eastAsia" w:ascii="仿宋_GB2312" w:hAnsi="？？" w:eastAsia="仿宋_GB2312"/>
          <w:color w:val="000000"/>
          <w:sz w:val="32"/>
          <w:szCs w:val="32"/>
        </w:rPr>
        <w:t>个</w:t>
      </w:r>
      <w:r>
        <w:rPr>
          <w:rStyle w:val="10"/>
          <w:rFonts w:hint="eastAsia" w:ascii="仿宋_GB2312" w:hAnsi="？？" w:eastAsia="仿宋_GB2312"/>
          <w:color w:val="000000"/>
          <w:sz w:val="32"/>
          <w:szCs w:val="32"/>
        </w:rPr>
        <w:t>全额拨款事业单位。</w:t>
      </w:r>
    </w:p>
    <w:p>
      <w:pPr>
        <w:adjustRightInd w:val="0"/>
        <w:snapToGrid w:val="0"/>
        <w:spacing w:line="580" w:lineRule="atLeast"/>
        <w:ind w:firstLine="640" w:firstLineChars="200"/>
        <w:jc w:val="both"/>
      </w:pPr>
      <w:r>
        <w:rPr>
          <w:rFonts w:hint="eastAsia" w:ascii="楷体_GB2312" w:eastAsia="楷体_GB2312"/>
          <w:bCs/>
          <w:kern w:val="44"/>
          <w:sz w:val="32"/>
          <w:szCs w:val="32"/>
        </w:rPr>
        <w:t>(二)一般公共预算财政拨款“三公”经费支出决算情况。</w:t>
      </w:r>
    </w:p>
    <w:p>
      <w:pPr>
        <w:adjustRightInd w:val="0"/>
        <w:snapToGrid w:val="0"/>
        <w:spacing w:line="580" w:lineRule="atLeast"/>
        <w:ind w:firstLine="640" w:firstLineChars="200"/>
        <w:jc w:val="both"/>
      </w:pPr>
      <w:r>
        <w:rPr>
          <w:rFonts w:hint="eastAsia" w:ascii="仿宋_GB2312" w:eastAsia="仿宋_GB2312"/>
          <w:color w:val="000000"/>
          <w:sz w:val="32"/>
          <w:szCs w:val="32"/>
        </w:rPr>
        <w:t>2018年度“三公”经费财政拨款年初预算数为</w:t>
      </w:r>
      <w:r>
        <w:rPr>
          <w:rStyle w:val="10"/>
          <w:rFonts w:hint="eastAsia" w:ascii="仿宋_GB2312" w:eastAsia="仿宋_GB2312"/>
          <w:bCs/>
          <w:kern w:val="44"/>
          <w:sz w:val="32"/>
          <w:szCs w:val="32"/>
        </w:rPr>
        <w:t>53.60</w:t>
      </w:r>
      <w:r>
        <w:rPr>
          <w:rStyle w:val="10"/>
          <w:rFonts w:hint="eastAsia" w:ascii="仿宋_GB2312" w:eastAsia="仿宋_GB2312"/>
          <w:color w:val="000000"/>
          <w:sz w:val="32"/>
          <w:szCs w:val="32"/>
        </w:rPr>
        <w:t>万元，支出决算为</w:t>
      </w:r>
      <w:r>
        <w:rPr>
          <w:rStyle w:val="10"/>
          <w:rFonts w:hint="eastAsia" w:ascii="仿宋_GB2312" w:eastAsia="仿宋_GB2312"/>
          <w:bCs/>
          <w:kern w:val="44"/>
          <w:sz w:val="32"/>
          <w:szCs w:val="32"/>
        </w:rPr>
        <w:t>53.00</w:t>
      </w:r>
      <w:r>
        <w:rPr>
          <w:rStyle w:val="10"/>
          <w:rFonts w:hint="eastAsia" w:ascii="仿宋_GB2312" w:eastAsia="仿宋_GB2312"/>
          <w:color w:val="000000"/>
          <w:sz w:val="32"/>
          <w:szCs w:val="32"/>
        </w:rPr>
        <w:t>万元，完成年初预算的</w:t>
      </w:r>
      <w:r>
        <w:rPr>
          <w:rStyle w:val="10"/>
          <w:rFonts w:hint="eastAsia" w:ascii="仿宋_GB2312" w:eastAsia="仿宋_GB2312"/>
          <w:bCs/>
          <w:kern w:val="44"/>
          <w:sz w:val="32"/>
          <w:szCs w:val="32"/>
        </w:rPr>
        <w:t>98.90</w:t>
      </w:r>
      <w:r>
        <w:rPr>
          <w:rStyle w:val="10"/>
          <w:rFonts w:hint="eastAsia" w:ascii="仿宋_GB2312" w:eastAsia="仿宋_GB2312"/>
          <w:color w:val="000000"/>
          <w:sz w:val="32"/>
          <w:szCs w:val="32"/>
        </w:rPr>
        <w:t>%，</w:t>
      </w:r>
      <w:r>
        <w:rPr>
          <w:rStyle w:val="10"/>
          <w:rFonts w:hint="eastAsia" w:ascii="仿宋_GB2312" w:eastAsia="仿宋_GB2312"/>
          <w:bCs/>
          <w:kern w:val="44"/>
          <w:sz w:val="32"/>
          <w:szCs w:val="32"/>
        </w:rPr>
        <w:t>其中：</w:t>
      </w:r>
    </w:p>
    <w:p>
      <w:pPr>
        <w:adjustRightInd w:val="0"/>
        <w:snapToGrid w:val="0"/>
        <w:spacing w:line="580" w:lineRule="atLeast"/>
        <w:ind w:firstLine="640" w:firstLineChars="200"/>
        <w:jc w:val="both"/>
        <w:rPr>
          <w:rFonts w:ascii="仿宋_GB2312" w:hAnsi="？？" w:eastAsia="仿宋_GB2312"/>
          <w:color w:val="000000"/>
          <w:sz w:val="32"/>
          <w:szCs w:val="32"/>
        </w:rPr>
      </w:pPr>
      <w:r>
        <w:rPr>
          <w:rFonts w:hint="eastAsia" w:ascii="仿宋_GB2312" w:eastAsia="仿宋_GB2312"/>
          <w:color w:val="000000"/>
          <w:sz w:val="32"/>
          <w:szCs w:val="32"/>
        </w:rPr>
        <w:t>1.因公出国(境)费支出决算为</w:t>
      </w:r>
      <w:r>
        <w:rPr>
          <w:rStyle w:val="10"/>
          <w:rFonts w:hint="eastAsia" w:ascii="仿宋_GB2312" w:eastAsia="仿宋_GB2312"/>
          <w:bCs/>
          <w:kern w:val="44"/>
          <w:sz w:val="32"/>
          <w:szCs w:val="32"/>
        </w:rPr>
        <w:t>0.00</w:t>
      </w:r>
      <w:r>
        <w:rPr>
          <w:rStyle w:val="10"/>
          <w:rFonts w:hint="eastAsia" w:ascii="仿宋_GB2312" w:eastAsia="仿宋_GB2312"/>
          <w:color w:val="000000"/>
          <w:sz w:val="32"/>
          <w:szCs w:val="32"/>
        </w:rPr>
        <w:t>万元，完成年初预算的</w:t>
      </w:r>
      <w:r>
        <w:rPr>
          <w:rStyle w:val="10"/>
          <w:rFonts w:hint="eastAsia" w:ascii="仿宋_GB2312" w:eastAsia="仿宋_GB2312"/>
          <w:bCs/>
          <w:kern w:val="44"/>
          <w:sz w:val="32"/>
          <w:szCs w:val="32"/>
        </w:rPr>
        <w:t>0</w:t>
      </w:r>
      <w:r>
        <w:rPr>
          <w:rStyle w:val="10"/>
          <w:rFonts w:hint="eastAsia" w:ascii="仿宋_GB2312" w:eastAsia="仿宋_GB2312"/>
          <w:color w:val="000000"/>
          <w:sz w:val="32"/>
          <w:szCs w:val="32"/>
        </w:rPr>
        <w:t>%，比年初预算增加(减少)</w:t>
      </w:r>
      <w:r>
        <w:rPr>
          <w:rFonts w:hint="eastAsia"/>
        </w:rPr>
        <w:t>0.00</w:t>
      </w:r>
      <w:r>
        <w:rPr>
          <w:rStyle w:val="10"/>
          <w:rFonts w:hint="eastAsia" w:ascii="仿宋_GB2312" w:eastAsia="仿宋_GB2312"/>
          <w:color w:val="000000"/>
          <w:sz w:val="32"/>
          <w:szCs w:val="32"/>
        </w:rPr>
        <w:t>万元。</w:t>
      </w:r>
    </w:p>
    <w:p>
      <w:pPr>
        <w:adjustRightInd w:val="0"/>
        <w:snapToGrid w:val="0"/>
        <w:spacing w:line="580" w:lineRule="atLeast"/>
        <w:ind w:firstLine="640" w:firstLineChars="200"/>
        <w:jc w:val="both"/>
      </w:pPr>
      <w:r>
        <w:rPr>
          <w:rFonts w:hint="eastAsia" w:ascii="仿宋_GB2312" w:hAnsi="？？" w:eastAsia="仿宋_GB2312"/>
          <w:color w:val="000000"/>
          <w:sz w:val="32"/>
          <w:szCs w:val="32"/>
        </w:rPr>
        <w:t>。</w:t>
      </w:r>
    </w:p>
    <w:p>
      <w:pPr>
        <w:adjustRightInd w:val="0"/>
        <w:snapToGrid w:val="0"/>
        <w:spacing w:line="580" w:lineRule="atLeast"/>
        <w:ind w:firstLine="640" w:firstLineChars="200"/>
        <w:jc w:val="both"/>
      </w:pPr>
      <w:r>
        <w:rPr>
          <w:rFonts w:hint="eastAsia" w:ascii="仿宋_GB2312" w:eastAsia="仿宋_GB2312"/>
          <w:color w:val="000000"/>
          <w:sz w:val="32"/>
          <w:szCs w:val="32"/>
        </w:rPr>
        <w:t>2.公务用车购置及运行费支出决算为</w:t>
      </w:r>
      <w:r>
        <w:rPr>
          <w:rStyle w:val="10"/>
          <w:rFonts w:hint="eastAsia" w:ascii="仿宋_GB2312" w:eastAsia="仿宋_GB2312"/>
          <w:bCs/>
          <w:kern w:val="44"/>
          <w:sz w:val="32"/>
          <w:szCs w:val="32"/>
        </w:rPr>
        <w:t>10.50</w:t>
      </w:r>
      <w:r>
        <w:rPr>
          <w:rStyle w:val="10"/>
          <w:rFonts w:hint="eastAsia" w:ascii="仿宋_GB2312" w:eastAsia="仿宋_GB2312"/>
          <w:color w:val="000000"/>
          <w:sz w:val="32"/>
          <w:szCs w:val="32"/>
        </w:rPr>
        <w:t>万元，完成年初预算的</w:t>
      </w:r>
      <w:r>
        <w:rPr>
          <w:rStyle w:val="10"/>
          <w:rFonts w:hint="eastAsia" w:ascii="仿宋_GB2312" w:eastAsia="仿宋_GB2312"/>
          <w:bCs/>
          <w:kern w:val="44"/>
          <w:sz w:val="32"/>
          <w:szCs w:val="32"/>
        </w:rPr>
        <w:t>99.10</w:t>
      </w:r>
      <w:r>
        <w:rPr>
          <w:rStyle w:val="10"/>
          <w:rFonts w:hint="eastAsia" w:ascii="仿宋_GB2312" w:eastAsia="仿宋_GB2312"/>
          <w:color w:val="000000"/>
          <w:sz w:val="32"/>
          <w:szCs w:val="32"/>
        </w:rPr>
        <w:t>%；其中：</w:t>
      </w:r>
    </w:p>
    <w:p>
      <w:pPr>
        <w:adjustRightInd w:val="0"/>
        <w:snapToGrid w:val="0"/>
        <w:spacing w:line="580" w:lineRule="atLeast"/>
        <w:ind w:firstLine="640" w:firstLineChars="200"/>
        <w:jc w:val="both"/>
      </w:pPr>
      <w:r>
        <w:rPr>
          <w:rFonts w:hint="eastAsia" w:ascii="仿宋_GB2312" w:eastAsia="仿宋_GB2312"/>
          <w:color w:val="000000"/>
          <w:sz w:val="32"/>
          <w:szCs w:val="32"/>
        </w:rPr>
        <w:t>(1)公务用车购置费</w:t>
      </w:r>
      <w:r>
        <w:rPr>
          <w:rStyle w:val="10"/>
          <w:rFonts w:hint="eastAsia" w:ascii="仿宋_GB2312" w:eastAsia="仿宋_GB2312"/>
          <w:bCs/>
          <w:kern w:val="44"/>
          <w:sz w:val="32"/>
          <w:szCs w:val="32"/>
        </w:rPr>
        <w:t>0.00</w:t>
      </w:r>
      <w:r>
        <w:rPr>
          <w:rStyle w:val="10"/>
          <w:rFonts w:hint="eastAsia" w:ascii="仿宋_GB2312" w:eastAsia="仿宋_GB2312"/>
          <w:color w:val="000000"/>
          <w:sz w:val="32"/>
          <w:szCs w:val="32"/>
        </w:rPr>
        <w:t>万元，完成年初预算的</w:t>
      </w:r>
      <w:r>
        <w:rPr>
          <w:rStyle w:val="10"/>
          <w:rFonts w:hint="eastAsia" w:ascii="仿宋_GB2312" w:eastAsia="仿宋_GB2312"/>
          <w:bCs/>
          <w:kern w:val="44"/>
          <w:sz w:val="32"/>
          <w:szCs w:val="32"/>
        </w:rPr>
        <w:t>0</w:t>
      </w:r>
      <w:r>
        <w:rPr>
          <w:rStyle w:val="10"/>
          <w:rFonts w:hint="eastAsia" w:ascii="仿宋_GB2312" w:eastAsia="仿宋_GB2312"/>
          <w:color w:val="000000"/>
          <w:sz w:val="32"/>
          <w:szCs w:val="32"/>
        </w:rPr>
        <w:t>%，比年初预算增加(减少)</w:t>
      </w:r>
      <w:r>
        <w:rPr>
          <w:rStyle w:val="10"/>
          <w:rFonts w:hint="eastAsia" w:ascii="仿宋_GB2312" w:eastAsia="仿宋_GB2312"/>
          <w:bCs/>
          <w:kern w:val="44"/>
          <w:sz w:val="32"/>
          <w:szCs w:val="32"/>
        </w:rPr>
        <w:t xml:space="preserve"> 0.00</w:t>
      </w:r>
      <w:r>
        <w:rPr>
          <w:rStyle w:val="10"/>
          <w:rFonts w:hint="eastAsia" w:ascii="仿宋_GB2312" w:eastAsia="仿宋_GB2312"/>
          <w:color w:val="000000"/>
          <w:sz w:val="32"/>
          <w:szCs w:val="32"/>
        </w:rPr>
        <w:t>万元。本年度购置(更新)公务用车</w:t>
      </w:r>
      <w:r>
        <w:rPr>
          <w:rStyle w:val="10"/>
          <w:rFonts w:hint="eastAsia" w:ascii="仿宋_GB2312" w:eastAsia="仿宋_GB2312"/>
          <w:bCs/>
          <w:kern w:val="44"/>
          <w:sz w:val="32"/>
          <w:szCs w:val="32"/>
        </w:rPr>
        <w:t>0</w:t>
      </w:r>
      <w:r>
        <w:rPr>
          <w:rStyle w:val="10"/>
          <w:rFonts w:hint="eastAsia" w:ascii="仿宋_GB2312" w:eastAsia="仿宋_GB2312"/>
          <w:color w:val="000000"/>
          <w:sz w:val="32"/>
          <w:szCs w:val="32"/>
        </w:rPr>
        <w:t>辆，年末公务用车保有量</w:t>
      </w:r>
      <w:r>
        <w:rPr>
          <w:rStyle w:val="10"/>
          <w:rFonts w:hint="eastAsia" w:ascii="仿宋_GB2312" w:eastAsia="仿宋_GB2312"/>
          <w:bCs/>
          <w:kern w:val="44"/>
          <w:sz w:val="32"/>
          <w:szCs w:val="32"/>
        </w:rPr>
        <w:t>2</w:t>
      </w:r>
      <w:r>
        <w:rPr>
          <w:rStyle w:val="10"/>
          <w:rFonts w:hint="eastAsia" w:ascii="仿宋_GB2312" w:eastAsia="仿宋_GB2312"/>
          <w:color w:val="000000"/>
          <w:sz w:val="32"/>
          <w:szCs w:val="32"/>
        </w:rPr>
        <w:t>辆。</w:t>
      </w:r>
    </w:p>
    <w:p>
      <w:pPr>
        <w:adjustRightInd w:val="0"/>
        <w:snapToGrid w:val="0"/>
        <w:spacing w:line="580" w:lineRule="atLeast"/>
        <w:ind w:firstLine="640" w:firstLineChars="200"/>
        <w:jc w:val="both"/>
      </w:pPr>
      <w:r>
        <w:rPr>
          <w:rFonts w:hint="eastAsia" w:ascii="仿宋_GB2312" w:eastAsia="仿宋_GB2312"/>
          <w:color w:val="000000"/>
          <w:sz w:val="32"/>
          <w:szCs w:val="32"/>
        </w:rPr>
        <w:t>(2)公务用车运行费</w:t>
      </w:r>
      <w:r>
        <w:rPr>
          <w:rStyle w:val="10"/>
          <w:rFonts w:hint="eastAsia" w:ascii="仿宋_GB2312" w:eastAsia="仿宋_GB2312"/>
          <w:bCs/>
          <w:kern w:val="44"/>
          <w:sz w:val="32"/>
          <w:szCs w:val="32"/>
        </w:rPr>
        <w:t>10.50</w:t>
      </w:r>
      <w:r>
        <w:rPr>
          <w:rStyle w:val="10"/>
          <w:rFonts w:hint="eastAsia" w:ascii="仿宋_GB2312" w:eastAsia="仿宋_GB2312"/>
          <w:color w:val="000000"/>
          <w:sz w:val="32"/>
          <w:szCs w:val="32"/>
        </w:rPr>
        <w:t>万元，完成年初预算的</w:t>
      </w:r>
      <w:r>
        <w:rPr>
          <w:rStyle w:val="10"/>
          <w:rFonts w:hint="eastAsia" w:ascii="仿宋_GB2312" w:eastAsia="仿宋_GB2312"/>
          <w:bCs/>
          <w:kern w:val="44"/>
          <w:sz w:val="32"/>
          <w:szCs w:val="32"/>
        </w:rPr>
        <w:t>99.10</w:t>
      </w:r>
      <w:r>
        <w:rPr>
          <w:rStyle w:val="10"/>
          <w:rFonts w:hint="eastAsia" w:ascii="仿宋_GB2312" w:eastAsia="仿宋_GB2312"/>
          <w:color w:val="000000"/>
          <w:sz w:val="32"/>
          <w:szCs w:val="32"/>
        </w:rPr>
        <w:t>%，比年初预算减少</w:t>
      </w:r>
      <w:r>
        <w:rPr>
          <w:rStyle w:val="10"/>
          <w:rFonts w:hint="eastAsia" w:ascii="仿宋_GB2312" w:eastAsia="仿宋_GB2312"/>
          <w:bCs/>
          <w:kern w:val="44"/>
          <w:sz w:val="32"/>
          <w:szCs w:val="32"/>
        </w:rPr>
        <w:t>.10</w:t>
      </w:r>
      <w:r>
        <w:rPr>
          <w:rStyle w:val="10"/>
          <w:rFonts w:hint="eastAsia" w:ascii="仿宋_GB2312" w:eastAsia="仿宋_GB2312"/>
          <w:color w:val="000000"/>
          <w:sz w:val="32"/>
          <w:szCs w:val="32"/>
        </w:rPr>
        <w:t>万元，</w:t>
      </w:r>
      <w:r>
        <w:rPr>
          <w:rStyle w:val="10"/>
          <w:rFonts w:hint="eastAsia" w:ascii="仿宋_GB2312" w:hAnsi="？？" w:eastAsia="仿宋_GB2312"/>
          <w:color w:val="000000"/>
          <w:sz w:val="32"/>
          <w:szCs w:val="32"/>
        </w:rPr>
        <w:t>其中：燃料费6万元；维修费 2.5万元；过桥过路费0.5万元；保险费1.5万元。</w:t>
      </w:r>
    </w:p>
    <w:p>
      <w:pPr>
        <w:adjustRightInd w:val="0"/>
        <w:snapToGrid w:val="0"/>
        <w:spacing w:line="580" w:lineRule="atLeast"/>
        <w:ind w:firstLine="640" w:firstLineChars="200"/>
        <w:jc w:val="both"/>
      </w:pPr>
      <w:r>
        <w:rPr>
          <w:rFonts w:hint="eastAsia" w:ascii="仿宋_GB2312" w:eastAsia="仿宋_GB2312"/>
          <w:color w:val="000000"/>
          <w:sz w:val="32"/>
          <w:szCs w:val="32"/>
        </w:rPr>
        <w:t>3.公务接待费支出决算为</w:t>
      </w:r>
      <w:r>
        <w:rPr>
          <w:rStyle w:val="10"/>
          <w:rFonts w:hint="eastAsia" w:ascii="仿宋_GB2312" w:eastAsia="仿宋_GB2312"/>
          <w:bCs/>
          <w:kern w:val="44"/>
          <w:sz w:val="32"/>
          <w:szCs w:val="32"/>
        </w:rPr>
        <w:t>42.50</w:t>
      </w:r>
      <w:r>
        <w:rPr>
          <w:rStyle w:val="10"/>
          <w:rFonts w:hint="eastAsia" w:ascii="仿宋_GB2312" w:eastAsia="仿宋_GB2312"/>
          <w:color w:val="000000"/>
          <w:sz w:val="32"/>
          <w:szCs w:val="32"/>
        </w:rPr>
        <w:t>万元，完成年初预算的</w:t>
      </w:r>
      <w:r>
        <w:rPr>
          <w:rStyle w:val="10"/>
          <w:rFonts w:hint="eastAsia" w:ascii="仿宋_GB2312" w:eastAsia="仿宋_GB2312"/>
          <w:bCs/>
          <w:kern w:val="44"/>
          <w:sz w:val="32"/>
          <w:szCs w:val="32"/>
        </w:rPr>
        <w:t>98.80</w:t>
      </w:r>
      <w:r>
        <w:rPr>
          <w:rStyle w:val="10"/>
          <w:rFonts w:hint="eastAsia" w:ascii="仿宋_GB2312" w:eastAsia="仿宋_GB2312"/>
          <w:color w:val="000000"/>
          <w:sz w:val="32"/>
          <w:szCs w:val="32"/>
        </w:rPr>
        <w:t>%，比年初预算减少</w:t>
      </w:r>
      <w:r>
        <w:rPr>
          <w:rStyle w:val="10"/>
          <w:rFonts w:hint="eastAsia" w:ascii="仿宋_GB2312" w:eastAsia="仿宋_GB2312"/>
          <w:bCs/>
          <w:kern w:val="44"/>
          <w:sz w:val="32"/>
          <w:szCs w:val="32"/>
        </w:rPr>
        <w:t>0.50</w:t>
      </w:r>
      <w:r>
        <w:rPr>
          <w:rStyle w:val="10"/>
          <w:rFonts w:hint="eastAsia" w:ascii="仿宋_GB2312" w:eastAsia="仿宋_GB2312"/>
          <w:color w:val="000000"/>
          <w:sz w:val="32"/>
          <w:szCs w:val="32"/>
        </w:rPr>
        <w:t>万元。</w:t>
      </w:r>
    </w:p>
    <w:p>
      <w:pPr>
        <w:adjustRightInd w:val="0"/>
        <w:snapToGrid w:val="0"/>
        <w:spacing w:line="580" w:lineRule="atLeast"/>
        <w:ind w:firstLine="640" w:firstLineChars="200"/>
        <w:jc w:val="both"/>
      </w:pPr>
      <w:r>
        <w:rPr>
          <w:rFonts w:hint="eastAsia" w:ascii="仿宋_GB2312" w:eastAsia="仿宋_GB2312"/>
          <w:color w:val="000000"/>
          <w:sz w:val="32"/>
          <w:szCs w:val="32"/>
        </w:rPr>
        <w:t xml:space="preserve">2018年 </w:t>
      </w:r>
      <w:r>
        <w:rPr>
          <w:rStyle w:val="10"/>
          <w:rFonts w:hint="eastAsia" w:ascii="仿宋_GB2312" w:hAnsi="？？" w:eastAsia="仿宋_GB2312"/>
          <w:color w:val="000000"/>
          <w:sz w:val="32"/>
          <w:szCs w:val="32"/>
        </w:rPr>
        <w:t>武汉市黄陂区滠口街道办事处 执行公务和开展业务活动开支公务接待费</w:t>
      </w:r>
      <w:r>
        <w:rPr>
          <w:rStyle w:val="10"/>
          <w:rFonts w:hint="eastAsia" w:ascii="仿宋_GB2312" w:eastAsia="仿宋_GB2312"/>
          <w:color w:val="000000"/>
          <w:sz w:val="32"/>
          <w:szCs w:val="32"/>
        </w:rPr>
        <w:t>42.5万元。主要用于公务接待491批次9353人。</w:t>
      </w:r>
    </w:p>
    <w:p>
      <w:pPr>
        <w:adjustRightInd w:val="0"/>
        <w:snapToGrid w:val="0"/>
        <w:spacing w:line="580" w:lineRule="atLeast"/>
        <w:ind w:firstLine="640" w:firstLineChars="200"/>
        <w:jc w:val="both"/>
      </w:pPr>
      <w:r>
        <w:rPr>
          <w:rFonts w:hint="eastAsia" w:ascii="仿宋_GB2312" w:eastAsia="仿宋_GB2312"/>
          <w:color w:val="000000"/>
          <w:sz w:val="32"/>
          <w:szCs w:val="32"/>
        </w:rPr>
        <w:t>2018年度“三公”经费财政拨款支出决算数比2017年减少3.00万元，下降5.40%，其中：公务用车购置及运行费支出决算减少2.50万元，下降</w:t>
      </w:r>
      <w:r>
        <w:rPr>
          <w:rFonts w:hint="eastAsia"/>
        </w:rPr>
        <w:t>19.20</w:t>
      </w:r>
      <w:r>
        <w:rPr>
          <w:rFonts w:hint="eastAsia" w:ascii="仿宋_GB2312" w:eastAsia="仿宋_GB2312"/>
          <w:color w:val="000000"/>
          <w:sz w:val="32"/>
          <w:szCs w:val="32"/>
        </w:rPr>
        <w:t>%,公务接待支出决算与上年持平。公务用车购置及运行费支出决算减少的主要原因是财政所上交了公务用车，公务接待费支出决算减少的主要原因是压缩支出。</w:t>
      </w:r>
    </w:p>
    <w:p>
      <w:pPr>
        <w:pStyle w:val="9"/>
        <w:snapToGrid w:val="0"/>
        <w:spacing w:before="0" w:beforeAutospacing="0" w:after="0" w:afterAutospacing="0" w:line="580" w:lineRule="atLeast"/>
        <w:ind w:firstLine="640" w:firstLineChars="200"/>
        <w:jc w:val="both"/>
      </w:pPr>
      <w:r>
        <w:rPr>
          <w:rFonts w:hint="eastAsia" w:ascii="黑体" w:hAnsi="Times New Roman" w:eastAsia="黑体"/>
          <w:sz w:val="32"/>
          <w:szCs w:val="32"/>
        </w:rPr>
        <w:t>八、2018年度政府性基金预算财政拨款收入支出决算情况</w:t>
      </w:r>
    </w:p>
    <w:p>
      <w:pPr>
        <w:adjustRightInd w:val="0"/>
        <w:snapToGrid w:val="0"/>
        <w:spacing w:line="580" w:lineRule="atLeast"/>
        <w:ind w:firstLine="640" w:firstLineChars="200"/>
        <w:jc w:val="both"/>
      </w:pPr>
      <w:r>
        <w:rPr>
          <w:rFonts w:hint="eastAsia" w:ascii="仿宋_GB2312" w:eastAsia="仿宋_GB2312"/>
          <w:bCs/>
          <w:kern w:val="44"/>
          <w:sz w:val="32"/>
          <w:szCs w:val="32"/>
        </w:rPr>
        <w:t>2018年政府性基金预算财政拨款年初结转和结余</w:t>
      </w:r>
      <w:r>
        <w:rPr>
          <w:rStyle w:val="10"/>
          <w:rFonts w:hint="eastAsia" w:ascii="仿宋_GB2312" w:eastAsia="仿宋_GB2312"/>
          <w:bCs/>
          <w:kern w:val="44"/>
          <w:sz w:val="32"/>
          <w:szCs w:val="32"/>
        </w:rPr>
        <w:t>0.00万元，本年收入24,710.00万元，本年支出24,710.00万元，年末结转和结余0.00万元。具体支出情况为：</w:t>
      </w:r>
    </w:p>
    <w:p>
      <w:pPr>
        <w:snapToGrid w:val="0"/>
        <w:jc w:val="both"/>
      </w:pPr>
      <w:r>
        <w:rPr>
          <w:rFonts w:hint="eastAsia" w:ascii="仿宋_GB2312" w:eastAsia="仿宋_GB2312"/>
          <w:bCs/>
          <w:kern w:val="44"/>
          <w:sz w:val="32"/>
          <w:szCs w:val="32"/>
        </w:rPr>
        <w:t xml:space="preserve">    </w:t>
      </w:r>
    </w:p>
    <w:p>
      <w:pPr>
        <w:adjustRightInd w:val="0"/>
        <w:snapToGrid w:val="0"/>
        <w:spacing w:line="580" w:lineRule="atLeast"/>
        <w:ind w:firstLine="640" w:firstLineChars="200"/>
        <w:jc w:val="both"/>
      </w:pPr>
      <w:r>
        <w:rPr>
          <w:rFonts w:hint="eastAsia" w:ascii="仿宋_GB2312" w:eastAsia="仿宋_GB2312"/>
          <w:bCs/>
          <w:kern w:val="44"/>
          <w:sz w:val="32"/>
          <w:szCs w:val="32"/>
        </w:rPr>
        <w:t>(一)城乡社区支出(类)。支出决算为</w:t>
      </w:r>
      <w:r>
        <w:rPr>
          <w:rStyle w:val="10"/>
          <w:rFonts w:hint="eastAsia" w:ascii="仿宋_GB2312" w:eastAsia="仿宋_GB2312"/>
          <w:bCs/>
          <w:kern w:val="44"/>
          <w:sz w:val="32"/>
          <w:szCs w:val="32"/>
        </w:rPr>
        <w:t>24,710.00万元，主要用于临空经济产业园征地拆迁、解放大道下延线征地拆迁、南部路网等相关项目等方面支出。</w:t>
      </w:r>
    </w:p>
    <w:p>
      <w:pPr>
        <w:pStyle w:val="9"/>
        <w:snapToGrid w:val="0"/>
        <w:spacing w:before="0" w:beforeAutospacing="0" w:after="0" w:afterAutospacing="0" w:line="580" w:lineRule="atLeast"/>
        <w:ind w:firstLine="640" w:firstLineChars="200"/>
        <w:jc w:val="both"/>
      </w:pPr>
      <w:r>
        <w:rPr>
          <w:rFonts w:hint="eastAsia" w:ascii="黑体" w:hAnsi="Times New Roman" w:eastAsia="黑体"/>
          <w:sz w:val="32"/>
          <w:szCs w:val="32"/>
        </w:rPr>
        <w:t>九、关于2018年度预算绩效情况说明</w:t>
      </w:r>
    </w:p>
    <w:p>
      <w:pPr>
        <w:snapToGrid w:val="0"/>
        <w:spacing w:line="580" w:lineRule="atLeast"/>
        <w:ind w:firstLine="640" w:firstLineChars="200"/>
        <w:jc w:val="both"/>
      </w:pPr>
      <w:r>
        <w:rPr>
          <w:rFonts w:hint="eastAsia" w:ascii="仿宋_GB2312" w:hAnsi="仿宋_GB2312" w:eastAsia="仿宋_GB2312" w:cs="仿宋_GB2312"/>
          <w:sz w:val="32"/>
          <w:szCs w:val="32"/>
        </w:rPr>
        <w:t xml:space="preserve">(一)预算绩效管理工作开展情况。 </w:t>
      </w:r>
    </w:p>
    <w:p>
      <w:pPr>
        <w:snapToGrid w:val="0"/>
        <w:spacing w:line="580" w:lineRule="atLeast"/>
        <w:ind w:firstLine="630"/>
        <w:jc w:val="both"/>
      </w:pPr>
      <w:r>
        <w:rPr>
          <w:rFonts w:hint="eastAsia" w:ascii="仿宋_GB2312" w:hAnsi="仿宋_GB2312" w:eastAsia="仿宋_GB2312" w:cs="仿宋_GB2312"/>
          <w:sz w:val="32"/>
          <w:szCs w:val="32"/>
        </w:rPr>
        <w:t>根据预算绩效管理要求，我部门(单位)组织对2018年度一般公共预算项目支出全面开展绩效自评，共涉及项目       10个，资金26861.68万元。组织对3个部门（单位）开展整体支出绩效自评，资金26861.68万元。从绩效评价情况来看，</w:t>
      </w:r>
      <w:r>
        <w:rPr>
          <w:rFonts w:hint="eastAsia" w:ascii="仿宋_GB2312" w:eastAsia="仿宋_GB2312"/>
          <w:color w:val="000000"/>
          <w:sz w:val="32"/>
          <w:szCs w:val="32"/>
        </w:rPr>
        <w:t>加强和规范了预算绩效评价结果应用，提高财政资金使用效益和管理水平，建立科学合理的预算绩效管理机制</w:t>
      </w:r>
      <w:r>
        <w:rPr>
          <w:rFonts w:hint="eastAsia" w:ascii="仿宋_GB2312" w:hAnsi="仿宋_GB2312" w:eastAsia="仿宋_GB2312" w:cs="仿宋_GB2312"/>
          <w:sz w:val="32"/>
          <w:szCs w:val="32"/>
        </w:rPr>
        <w:t>。</w:t>
      </w:r>
    </w:p>
    <w:p>
      <w:pPr>
        <w:snapToGrid w:val="0"/>
        <w:spacing w:line="580" w:lineRule="atLeast"/>
        <w:jc w:val="both"/>
      </w:pPr>
      <w:r>
        <w:rPr>
          <w:rFonts w:hint="eastAsia" w:ascii="仿宋_GB2312" w:hAnsi="仿宋_GB2312" w:eastAsia="仿宋_GB2312" w:cs="仿宋_GB2312"/>
          <w:sz w:val="32"/>
          <w:szCs w:val="32"/>
        </w:rPr>
        <w:t xml:space="preserve">    (二)绩效自评结果。</w:t>
      </w:r>
    </w:p>
    <w:p>
      <w:pPr>
        <w:snapToGrid w:val="0"/>
        <w:spacing w:line="580" w:lineRule="atLeast"/>
        <w:jc w:val="both"/>
      </w:pPr>
      <w:r>
        <w:rPr>
          <w:rFonts w:hint="eastAsia" w:ascii="仿宋_GB2312" w:hAnsi="仿宋_GB2312" w:eastAsia="仿宋_GB2312" w:cs="仿宋_GB2312"/>
          <w:sz w:val="32"/>
          <w:szCs w:val="32"/>
        </w:rPr>
        <w:t xml:space="preserve">  </w:t>
      </w:r>
      <w:r>
        <w:rPr>
          <w:rFonts w:hint="eastAsia" w:ascii="仿宋_GB2312" w:hAnsi="仿宋_GB2312" w:eastAsia="仿宋_GB2312"/>
          <w:sz w:val="32"/>
          <w:szCs w:val="32"/>
        </w:rPr>
        <w:t xml:space="preserve">  </w:t>
      </w:r>
      <w:r>
        <w:rPr>
          <w:rFonts w:hint="eastAsia" w:ascii="仿宋_GB2312" w:hAnsi="仿宋_GB2312" w:eastAsia="仿宋_GB2312" w:cs="仿宋_GB2312"/>
          <w:sz w:val="32"/>
          <w:szCs w:val="32"/>
        </w:rPr>
        <w:t>我部门(单位)今年在市级部门决算中反映所有项目绩效自评结果。</w:t>
      </w:r>
    </w:p>
    <w:p>
      <w:pPr>
        <w:snapToGrid w:val="0"/>
        <w:spacing w:line="580" w:lineRule="atLeast"/>
        <w:jc w:val="both"/>
      </w:pPr>
      <w:r>
        <w:rPr>
          <w:rFonts w:hint="eastAsia" w:ascii="仿宋_GB2312" w:hAnsi="仿宋_GB2312" w:eastAsia="仿宋_GB2312" w:cs="仿宋_GB2312"/>
          <w:sz w:val="32"/>
          <w:szCs w:val="32"/>
        </w:rPr>
        <w:t xml:space="preserve">        项目绩效自评综述：项目全年预算数为26861.68万元，执行数为26861.68万元，完成预算的100%。主要产出和效果：一是保障了行政正常运转，</w:t>
      </w:r>
      <w:r>
        <w:rPr>
          <w:rFonts w:hint="eastAsia" w:ascii="仿宋_GB2312" w:eastAsia="仿宋_GB2312"/>
          <w:sz w:val="32"/>
          <w:szCs w:val="32"/>
        </w:rPr>
        <w:t>发展壮大街道经济，搞好社会治安综合治理管理工作，维护社会稳定</w:t>
      </w:r>
      <w:r>
        <w:rPr>
          <w:rFonts w:hint="eastAsia" w:ascii="仿宋_GB2312" w:hAnsi="仿宋_GB2312" w:eastAsia="仿宋_GB2312" w:cs="仿宋_GB2312"/>
          <w:sz w:val="32"/>
          <w:szCs w:val="32"/>
        </w:rPr>
        <w:t>；二</w:t>
      </w:r>
      <w:r>
        <w:rPr>
          <w:rFonts w:hint="eastAsia" w:ascii="仿宋_GB2312" w:eastAsia="仿宋_GB2312"/>
          <w:color w:val="000000"/>
          <w:sz w:val="32"/>
          <w:szCs w:val="32"/>
        </w:rPr>
        <w:t>是促进了社会各项公益事业发展</w:t>
      </w:r>
      <w:r>
        <w:rPr>
          <w:rFonts w:hint="eastAsia" w:ascii="仿宋_GB2312" w:hAnsi="仿宋_GB2312" w:eastAsia="仿宋_GB2312" w:cs="仿宋_GB2312"/>
          <w:sz w:val="32"/>
          <w:szCs w:val="32"/>
        </w:rPr>
        <w:t>；三是</w:t>
      </w:r>
      <w:r>
        <w:rPr>
          <w:rFonts w:hint="eastAsia" w:ascii="仿宋_GB2312" w:eastAsia="仿宋_GB2312"/>
          <w:color w:val="000000"/>
          <w:sz w:val="32"/>
          <w:szCs w:val="32"/>
        </w:rPr>
        <w:t>加强了农村党组织建设，增强党员政治素养，发挥党员带头作用，调动农村党员干部积极性，促进农村经济发展；四是从根本上解决了辖区的环境问题，环境整治后辖区内城镇面貌焕然一新，得到了辖区人民的高度支持和认可，居民</w:t>
      </w:r>
      <w:r>
        <w:rPr>
          <w:rFonts w:hint="eastAsia" w:ascii="仿宋_GB2312" w:eastAsia="仿宋_GB2312"/>
          <w:color w:val="000000"/>
          <w:sz w:val="32"/>
          <w:szCs w:val="32"/>
          <w:lang w:eastAsia="zh-CN"/>
        </w:rPr>
        <w:t>幸福感</w:t>
      </w:r>
      <w:r>
        <w:rPr>
          <w:rFonts w:hint="eastAsia" w:ascii="仿宋_GB2312" w:eastAsia="仿宋_GB2312"/>
          <w:color w:val="000000"/>
          <w:sz w:val="32"/>
          <w:szCs w:val="32"/>
        </w:rPr>
        <w:t>和获得感日益增强</w:t>
      </w:r>
      <w:r>
        <w:rPr>
          <w:rFonts w:hint="eastAsia" w:ascii="仿宋_GB2312" w:hAnsi="仿宋_GB2312" w:eastAsia="仿宋_GB2312" w:cs="仿宋_GB2312"/>
          <w:sz w:val="32"/>
          <w:szCs w:val="32"/>
        </w:rPr>
        <w:t>。</w:t>
      </w:r>
    </w:p>
    <w:p>
      <w:pPr>
        <w:snapToGrid w:val="0"/>
        <w:spacing w:line="580" w:lineRule="atLeast"/>
        <w:ind w:firstLine="640" w:firstLineChars="200"/>
        <w:jc w:val="both"/>
      </w:pPr>
      <w:r>
        <w:rPr>
          <w:rFonts w:hint="eastAsia" w:ascii="仿宋_GB2312" w:hAnsi="仿宋_GB2312" w:eastAsia="仿宋_GB2312" w:cs="仿宋_GB2312"/>
          <w:sz w:val="32"/>
          <w:szCs w:val="32"/>
        </w:rPr>
        <w:t xml:space="preserve">    </w:t>
      </w:r>
    </w:p>
    <w:p>
      <w:pPr>
        <w:adjustRightInd w:val="0"/>
        <w:snapToGrid w:val="0"/>
        <w:spacing w:line="580" w:lineRule="atLeast"/>
        <w:ind w:firstLine="640" w:firstLineChars="200"/>
        <w:jc w:val="both"/>
      </w:pPr>
      <w:r>
        <w:rPr>
          <w:rFonts w:hint="eastAsia" w:ascii="黑体" w:hAnsi="Times New Roman" w:eastAsia="黑体" w:cs="仿宋_GB2312"/>
          <w:sz w:val="32"/>
          <w:szCs w:val="32"/>
        </w:rPr>
        <w:t>十、</w:t>
      </w:r>
      <w:r>
        <w:rPr>
          <w:rFonts w:hint="eastAsia" w:ascii="黑体" w:hAnsi="Times New Roman" w:eastAsia="黑体" w:cs="仿宋_GB2312"/>
          <w:color w:val="000000"/>
          <w:sz w:val="32"/>
          <w:szCs w:val="32"/>
        </w:rPr>
        <w:t>2018年度其他重要事项的情况</w:t>
      </w:r>
      <w:r>
        <w:rPr>
          <w:rFonts w:hint="eastAsia" w:ascii="黑体" w:hAnsi="黑体" w:eastAsia="黑体"/>
          <w:sz w:val="32"/>
          <w:szCs w:val="32"/>
        </w:rPr>
        <w:t>说明</w:t>
      </w:r>
    </w:p>
    <w:p>
      <w:pPr>
        <w:adjustRightInd w:val="0"/>
        <w:snapToGrid w:val="0"/>
        <w:spacing w:line="580" w:lineRule="atLeast"/>
        <w:ind w:firstLine="640" w:firstLineChars="200"/>
        <w:jc w:val="both"/>
      </w:pPr>
      <w:r>
        <w:rPr>
          <w:rFonts w:hint="eastAsia" w:ascii="楷体_GB2312" w:eastAsia="楷体_GB2312"/>
          <w:bCs/>
          <w:kern w:val="44"/>
          <w:sz w:val="32"/>
          <w:szCs w:val="32"/>
        </w:rPr>
        <w:t>(一)机关运行经费支出情况。</w:t>
      </w:r>
    </w:p>
    <w:p>
      <w:pPr>
        <w:adjustRightInd w:val="0"/>
        <w:snapToGrid w:val="0"/>
        <w:spacing w:line="580" w:lineRule="atLeast"/>
        <w:ind w:firstLine="640" w:firstLineChars="200"/>
        <w:jc w:val="both"/>
        <w:rPr>
          <w:rFonts w:ascii="仿宋_GB2312" w:eastAsia="仿宋_GB2312"/>
          <w:bCs/>
          <w:kern w:val="44"/>
          <w:sz w:val="32"/>
          <w:szCs w:val="32"/>
        </w:rPr>
      </w:pPr>
      <w:r>
        <w:rPr>
          <w:rFonts w:hint="eastAsia" w:ascii="仿宋_GB2312" w:eastAsia="仿宋_GB2312"/>
          <w:bCs/>
          <w:kern w:val="44"/>
          <w:sz w:val="32"/>
          <w:szCs w:val="32"/>
        </w:rPr>
        <w:t>2018年度</w:t>
      </w:r>
      <w:r>
        <w:rPr>
          <w:rStyle w:val="10"/>
          <w:rFonts w:hint="eastAsia" w:ascii="仿宋_GB2312" w:eastAsia="仿宋_GB2312"/>
          <w:bCs/>
          <w:sz w:val="32"/>
          <w:szCs w:val="32"/>
        </w:rPr>
        <w:t>武汉市黄陂区滠口街道办事处</w:t>
      </w:r>
      <w:r>
        <w:rPr>
          <w:rStyle w:val="10"/>
          <w:rFonts w:hint="eastAsia" w:ascii="仿宋_GB2312" w:eastAsia="仿宋_GB2312"/>
          <w:bCs/>
          <w:kern w:val="44"/>
          <w:sz w:val="32"/>
          <w:szCs w:val="32"/>
        </w:rPr>
        <w:t>(含参照公务员法管理的事业单位)机关运行经费支出220.48万元，比2017年增加0.98万元，增长0.4%。</w:t>
      </w:r>
    </w:p>
    <w:p>
      <w:pPr>
        <w:adjustRightInd w:val="0"/>
        <w:snapToGrid w:val="0"/>
        <w:spacing w:line="580" w:lineRule="atLeast"/>
        <w:ind w:firstLine="640" w:firstLineChars="200"/>
        <w:jc w:val="both"/>
      </w:pPr>
      <w:r>
        <w:rPr>
          <w:rFonts w:hint="eastAsia" w:ascii="楷体_GB2312" w:eastAsia="楷体_GB2312"/>
          <w:bCs/>
          <w:kern w:val="44"/>
          <w:sz w:val="32"/>
          <w:szCs w:val="32"/>
        </w:rPr>
        <w:t>(二)国有资产占用情况。</w:t>
      </w:r>
    </w:p>
    <w:p>
      <w:pPr>
        <w:adjustRightInd w:val="0"/>
        <w:snapToGrid w:val="0"/>
        <w:spacing w:line="580" w:lineRule="atLeast"/>
        <w:ind w:firstLine="640" w:firstLineChars="200"/>
        <w:jc w:val="both"/>
      </w:pPr>
      <w:r>
        <w:rPr>
          <w:rFonts w:hint="eastAsia" w:ascii="仿宋_GB2312" w:eastAsia="仿宋_GB2312"/>
          <w:bCs/>
          <w:kern w:val="44"/>
          <w:sz w:val="32"/>
          <w:szCs w:val="32"/>
        </w:rPr>
        <w:t>截至2018年12月31日，</w:t>
      </w:r>
      <w:r>
        <w:rPr>
          <w:rStyle w:val="10"/>
          <w:rFonts w:hint="eastAsia" w:ascii="仿宋_GB2312" w:eastAsia="仿宋_GB2312"/>
          <w:bCs/>
          <w:sz w:val="32"/>
          <w:szCs w:val="32"/>
        </w:rPr>
        <w:t>武汉市黄陂区滠口街道办事处</w:t>
      </w:r>
      <w:r>
        <w:rPr>
          <w:rStyle w:val="10"/>
          <w:rFonts w:hint="eastAsia" w:ascii="仿宋_GB2312" w:eastAsia="仿宋_GB2312"/>
          <w:bCs/>
          <w:kern w:val="44"/>
          <w:sz w:val="32"/>
          <w:szCs w:val="32"/>
        </w:rPr>
        <w:t>共有车辆2辆，其中，其他用车2辆。</w:t>
      </w:r>
    </w:p>
    <w:p>
      <w:pPr>
        <w:snapToGrid w:val="0"/>
        <w:spacing w:line="600" w:lineRule="atLeast"/>
        <w:ind w:right="24"/>
        <w:jc w:val="both"/>
      </w:pPr>
      <w:r>
        <w:rPr>
          <w:rFonts w:hint="eastAsia" w:ascii="仿宋_GB2312" w:eastAsia="仿宋_GB2312"/>
          <w:sz w:val="32"/>
          <w:szCs w:val="32"/>
        </w:rPr>
        <w:t> </w:t>
      </w:r>
    </w:p>
    <w:p>
      <w:pPr>
        <w:snapToGrid w:val="0"/>
        <w:jc w:val="both"/>
      </w:pPr>
      <w:r>
        <w:rPr>
          <w:rFonts w:hint="eastAsia"/>
        </w:rPr>
        <w:t xml:space="preserve">  </w:t>
      </w:r>
    </w:p>
    <w:p>
      <w:pPr>
        <w:pStyle w:val="2"/>
        <w:snapToGrid w:val="0"/>
        <w:spacing w:before="0" w:beforeAutospacing="0" w:after="0" w:afterAutospacing="0"/>
        <w:jc w:val="both"/>
      </w:pPr>
      <w:r>
        <w:rPr>
          <w:rFonts w:hint="eastAsia" w:ascii="Times New Roman" w:hAnsi="Times New Roman"/>
        </w:rPr>
        <w:t>第四部分</w:t>
      </w:r>
      <w:r>
        <w:rPr>
          <w:rFonts w:hint="eastAsia"/>
        </w:rPr>
        <w:t xml:space="preserve">  2018</w:t>
      </w:r>
      <w:r>
        <w:rPr>
          <w:rFonts w:hint="eastAsia" w:ascii="Times New Roman" w:hAnsi="Times New Roman"/>
        </w:rPr>
        <w:t>年重点工作完成情况</w:t>
      </w:r>
    </w:p>
    <w:p>
      <w:pPr>
        <w:adjustRightInd w:val="0"/>
        <w:snapToGrid w:val="0"/>
        <w:spacing w:line="580" w:lineRule="atLeast"/>
        <w:ind w:firstLine="640" w:firstLineChars="200"/>
        <w:jc w:val="both"/>
      </w:pPr>
      <w:r>
        <w:rPr>
          <w:rFonts w:hint="eastAsia" w:ascii="黑体" w:eastAsia="黑体"/>
          <w:bCs/>
          <w:sz w:val="32"/>
          <w:szCs w:val="32"/>
        </w:rPr>
        <w:t> </w:t>
      </w:r>
    </w:p>
    <w:p>
      <w:pPr>
        <w:spacing w:line="360" w:lineRule="exact"/>
        <w:ind w:firstLine="643" w:firstLineChars="200"/>
        <w:rPr>
          <w:rFonts w:ascii="仿宋" w:hAnsi="仿宋" w:eastAsia="仿宋"/>
          <w:b/>
          <w:sz w:val="32"/>
          <w:szCs w:val="32"/>
        </w:rPr>
      </w:pPr>
      <w:r>
        <w:rPr>
          <w:rFonts w:hint="eastAsia" w:ascii="仿宋" w:hAnsi="仿宋" w:eastAsia="仿宋"/>
          <w:b/>
          <w:sz w:val="32"/>
          <w:szCs w:val="32"/>
        </w:rPr>
        <w:t>（一）抓项目优服务，各项绩效目标全面完成</w:t>
      </w:r>
    </w:p>
    <w:p>
      <w:pPr>
        <w:spacing w:line="360" w:lineRule="exact"/>
        <w:ind w:firstLine="643" w:firstLineChars="200"/>
        <w:rPr>
          <w:rFonts w:ascii="仿宋" w:hAnsi="仿宋" w:eastAsia="仿宋"/>
          <w:sz w:val="32"/>
          <w:szCs w:val="32"/>
        </w:rPr>
      </w:pPr>
      <w:r>
        <w:rPr>
          <w:rFonts w:hint="eastAsia" w:ascii="仿宋" w:hAnsi="仿宋" w:eastAsia="仿宋"/>
          <w:b/>
          <w:sz w:val="32"/>
          <w:szCs w:val="32"/>
        </w:rPr>
        <w:t>努力完成各项绩效经济指标。</w:t>
      </w:r>
      <w:r>
        <w:rPr>
          <w:rFonts w:hint="eastAsia" w:ascii="仿宋" w:hAnsi="仿宋" w:eastAsia="仿宋"/>
          <w:sz w:val="32"/>
          <w:szCs w:val="32"/>
        </w:rPr>
        <w:t>2018年，滠口街承担10项主要经济绩效目标，经过全街上下的艰苦努力，全面完成任务，其中国地税全年目标41686万元，全年完成44589万元，占全年目标任务的107%；固定资产投资全年目标增幅13.5%，预计全年达到15.5%；工业投资全年目标27亿元，完成27亿元，占全年任务的100%。</w:t>
      </w:r>
    </w:p>
    <w:p>
      <w:pPr>
        <w:spacing w:line="400" w:lineRule="exact"/>
        <w:ind w:firstLine="641"/>
        <w:rPr>
          <w:rFonts w:ascii="仿宋" w:hAnsi="仿宋" w:eastAsia="仿宋"/>
          <w:sz w:val="32"/>
          <w:szCs w:val="32"/>
        </w:rPr>
      </w:pPr>
      <w:r>
        <w:rPr>
          <w:rFonts w:hint="eastAsia" w:ascii="仿宋" w:hAnsi="仿宋" w:eastAsia="仿宋"/>
          <w:b/>
          <w:sz w:val="32"/>
          <w:szCs w:val="32"/>
        </w:rPr>
        <w:t>较好完成各项特色指标。</w:t>
      </w:r>
      <w:r>
        <w:rPr>
          <w:rFonts w:hint="eastAsia" w:ascii="仿宋" w:hAnsi="仿宋" w:eastAsia="仿宋"/>
          <w:sz w:val="32"/>
          <w:szCs w:val="32"/>
        </w:rPr>
        <w:t>建立村级河湖长制，清理河湖坡岸垃圾和废弃物，推进畜禽退养和垃圾禁烧工作，拆除历史违建，违法填湖、湖边违建等行为得到有效遏制；加大小作坊的管控和生活污水的改造力度，各项指标达标；积极推进招才引智工作，精准扶贫任务较好完成；坚持深化改革，做好各项试点工作：全面完成区委、区政府下达的农村集体资产产权制度改革绩效目标任务、深入推进城管执法力量下沉和农业供给侧结构性改革、开展滠口村集体用地建设租赁住房和农民工工资支付专项改革试点工作、完善红色引擎工程拓面提质体制机制；市容市貌整治效果显著，查违控违排名靠前；工商新增“个转企”14户，相关奖励政策已兑付；积极实施“三乡工程”，完成拓面提质行政村2个，建设共享农庄9户；完成年度政府投资项目建设任务，镇区雨污分流已完成，滠阳大道立面整治完成90%；完成经营性用地征拆供地工作，以便国土局2019年元月挂牌；工业用地完成2户企业交地工作。</w:t>
      </w:r>
    </w:p>
    <w:p>
      <w:pPr>
        <w:spacing w:line="400" w:lineRule="exact"/>
        <w:ind w:firstLine="641"/>
        <w:rPr>
          <w:rFonts w:ascii="仿宋" w:hAnsi="仿宋" w:eastAsia="仿宋"/>
          <w:sz w:val="32"/>
          <w:szCs w:val="32"/>
        </w:rPr>
      </w:pPr>
      <w:r>
        <w:rPr>
          <w:rFonts w:hint="eastAsia" w:ascii="仿宋" w:hAnsi="仿宋" w:eastAsia="仿宋"/>
          <w:b/>
          <w:sz w:val="32"/>
          <w:szCs w:val="32"/>
        </w:rPr>
        <w:t>紧握三大重点项目建设引擎。</w:t>
      </w:r>
      <w:r>
        <w:rPr>
          <w:rFonts w:hint="eastAsia" w:ascii="仿宋" w:hAnsi="仿宋" w:eastAsia="仿宋"/>
          <w:sz w:val="32"/>
          <w:szCs w:val="32"/>
        </w:rPr>
        <w:t>作为长江新城的共建方，滠口街积极组织动员力量，为项目步入正轨打开了局面，截至目前，长江新城南湖片区、双桥片区人口、房屋面积登记已基本完成，征地拆迁政策宣传工作正在有序进行。</w:t>
      </w:r>
    </w:p>
    <w:p>
      <w:pPr>
        <w:spacing w:line="340" w:lineRule="exact"/>
        <w:ind w:firstLine="640" w:firstLineChars="200"/>
        <w:rPr>
          <w:rFonts w:ascii="仿宋" w:hAnsi="仿宋" w:eastAsia="仿宋"/>
          <w:sz w:val="32"/>
          <w:szCs w:val="32"/>
        </w:rPr>
      </w:pPr>
      <w:r>
        <w:rPr>
          <w:rFonts w:hint="eastAsia" w:ascii="仿宋" w:hAnsi="仿宋" w:eastAsia="仿宋"/>
          <w:sz w:val="32"/>
          <w:szCs w:val="32"/>
        </w:rPr>
        <w:t>长江青年城项目征地150亩作业面和所涉地块的土地测量、苗木清点、苗木评估工作完成，“双登”数据统计完毕，苗木移栽基地投入使用，坟墓迁移工作结束，先保后征社保调查和资料已上报，国土局已批准选址意见，正在制定相关建设方案。作为首个落户滠口的长江青年城，滠口街在做足整体拆迁和交地工作的同时，也在加紧“人才公寓”的建设，目前，全市首个长江青年城一期已对外预售，预计明年上半年交房。</w:t>
      </w:r>
    </w:p>
    <w:p>
      <w:pPr>
        <w:spacing w:line="340" w:lineRule="exact"/>
        <w:ind w:firstLine="640" w:firstLineChars="200"/>
        <w:rPr>
          <w:rFonts w:ascii="仿宋" w:hAnsi="仿宋" w:eastAsia="仿宋"/>
          <w:sz w:val="32"/>
          <w:szCs w:val="32"/>
        </w:rPr>
      </w:pPr>
      <w:r>
        <w:rPr>
          <w:rFonts w:hint="eastAsia" w:ascii="仿宋" w:hAnsi="仿宋" w:eastAsia="仿宋"/>
          <w:sz w:val="32"/>
          <w:szCs w:val="32"/>
        </w:rPr>
        <w:t>木兰畅谷征迁协调工作专班已聘请第三方完成了该项目规划范围内房屋面积的摸底测量、地面附着物的登记，对地面附着物进行了概评、对所征地块进行场评概算，启动了与农户的房屋拆迁的合同谈判，已办理398人先保后征手续。今年以来，随着征地拆迁方案逐步完善，基础性工作稳步推进，木兰畅谷招商引资形势明显好转，签约项目增多，企业入驻意愿迫切。“木兰畅谷”成功引进中国普天集团、中航工业集团等智能交通产业国际领军企业。与江汉大学商学院、清华大学国家服务外包资源研究院、阿里巴巴淘宝商学院等教育机构签订“双创”合作协议。苏宁易购木兰畅谷店正式运营，清华大学跨境电商产业中心交付使用。</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聚力招商引资促发展。</w:t>
      </w:r>
      <w:r>
        <w:rPr>
          <w:rFonts w:hint="eastAsia" w:ascii="仿宋" w:hAnsi="仿宋" w:eastAsia="仿宋"/>
          <w:sz w:val="32"/>
          <w:szCs w:val="32"/>
        </w:rPr>
        <w:t>滠口街深入实施“工业强街”、“项目强街”战备，突出项目攻坚，做强工业经济。华中金圣达投资公司兴建的温州彩印包装园项目，已建成21万方，其中厂房面积19万方，聚集了二十余家彩印包装企业，目前已投产6户。黄陂区8月</w:t>
      </w:r>
      <w:r>
        <w:rPr>
          <w:rFonts w:ascii="仿宋" w:hAnsi="仿宋" w:eastAsia="仿宋"/>
          <w:sz w:val="32"/>
          <w:szCs w:val="32"/>
        </w:rPr>
        <w:t>招商引资</w:t>
      </w:r>
      <w:r>
        <w:rPr>
          <w:rFonts w:hint="eastAsia" w:ascii="仿宋" w:hAnsi="仿宋" w:eastAsia="仿宋"/>
          <w:sz w:val="32"/>
          <w:szCs w:val="32"/>
        </w:rPr>
        <w:t>重大</w:t>
      </w:r>
      <w:r>
        <w:rPr>
          <w:rFonts w:ascii="仿宋" w:hAnsi="仿宋" w:eastAsia="仿宋"/>
          <w:sz w:val="32"/>
          <w:szCs w:val="32"/>
        </w:rPr>
        <w:t>项目</w:t>
      </w:r>
      <w:r>
        <w:rPr>
          <w:rFonts w:hint="eastAsia" w:ascii="仿宋" w:hAnsi="仿宋" w:eastAsia="仿宋"/>
          <w:sz w:val="32"/>
          <w:szCs w:val="32"/>
        </w:rPr>
        <w:t>集中</w:t>
      </w:r>
      <w:r>
        <w:rPr>
          <w:rFonts w:ascii="仿宋" w:hAnsi="仿宋" w:eastAsia="仿宋"/>
          <w:sz w:val="32"/>
          <w:szCs w:val="32"/>
        </w:rPr>
        <w:t>开工仪式在</w:t>
      </w:r>
      <w:r>
        <w:rPr>
          <w:rFonts w:hint="eastAsia" w:ascii="仿宋" w:hAnsi="仿宋" w:eastAsia="仿宋"/>
          <w:sz w:val="32"/>
          <w:szCs w:val="32"/>
        </w:rPr>
        <w:t>滠口街万可·后海项目施工现场隆重</w:t>
      </w:r>
      <w:r>
        <w:rPr>
          <w:rFonts w:ascii="仿宋" w:hAnsi="仿宋" w:eastAsia="仿宋"/>
          <w:sz w:val="32"/>
          <w:szCs w:val="32"/>
        </w:rPr>
        <w:t>举行</w:t>
      </w:r>
      <w:r>
        <w:rPr>
          <w:rFonts w:hint="eastAsia" w:ascii="仿宋" w:hAnsi="仿宋" w:eastAsia="仿宋"/>
          <w:sz w:val="32"/>
          <w:szCs w:val="32"/>
        </w:rPr>
        <w:t>，开工项目包含万可·后海、机电设备生产制造、子连时尚创意产业园、飞博乐环保工程、君安骏腾机电设备等项目，全力助推</w:t>
      </w:r>
      <w:r>
        <w:rPr>
          <w:rFonts w:ascii="仿宋" w:hAnsi="仿宋" w:eastAsia="仿宋"/>
          <w:sz w:val="32"/>
          <w:szCs w:val="32"/>
        </w:rPr>
        <w:t>产业转型升级和集群发展。</w:t>
      </w:r>
      <w:r>
        <w:rPr>
          <w:rFonts w:hint="eastAsia" w:ascii="仿宋" w:hAnsi="仿宋" w:eastAsia="仿宋"/>
          <w:sz w:val="32"/>
          <w:szCs w:val="32"/>
        </w:rPr>
        <w:t>实施定向招商，确保全年引资26亿元，并陆续开工建设。</w:t>
      </w:r>
    </w:p>
    <w:p>
      <w:pPr>
        <w:spacing w:line="340" w:lineRule="exact"/>
        <w:ind w:firstLine="643" w:firstLineChars="200"/>
        <w:rPr>
          <w:rFonts w:ascii="仿宋" w:hAnsi="仿宋" w:eastAsia="仿宋"/>
          <w:color w:val="FF0000"/>
          <w:sz w:val="32"/>
          <w:szCs w:val="32"/>
        </w:rPr>
      </w:pPr>
      <w:r>
        <w:rPr>
          <w:rFonts w:hint="eastAsia" w:ascii="仿宋" w:hAnsi="仿宋" w:eastAsia="仿宋"/>
          <w:b/>
          <w:sz w:val="32"/>
          <w:szCs w:val="32"/>
        </w:rPr>
        <w:t>助力工业园区产业发展。</w:t>
      </w:r>
      <w:r>
        <w:rPr>
          <w:rFonts w:hint="eastAsia" w:ascii="仿宋" w:hAnsi="仿宋" w:eastAsia="仿宋"/>
          <w:sz w:val="32"/>
          <w:szCs w:val="32"/>
        </w:rPr>
        <w:t>加快工业园区基础设施建设，十里工业园电网主线路已到园，开闭所已建成，5.6公里供水管网已铺设，供水加压站正在办理施工手续，施工现场场平和水、电、路建设达到三通一平标准，目前正在施工。滠口工业园四路西支路，按城市次干路标准新建，目前正在招标。</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优化企业营商环境。</w:t>
      </w:r>
      <w:r>
        <w:rPr>
          <w:rFonts w:hint="eastAsia" w:ascii="仿宋" w:hAnsi="仿宋" w:eastAsia="仿宋"/>
          <w:sz w:val="32"/>
          <w:szCs w:val="32"/>
        </w:rPr>
        <w:t>围绕市委营商环境专项巡查组的要求，以全力服务好重点企业、重大项目为己任，改善营商环境，抓好已签约项目的落地推进，促进重点建设项目早开工、早建设、早运营，尽快打开园区建设发展新局面。改变重招商轻落地的运作模式，及时将顺鲜物流临时施工道路修建至项目地，将施工用电和自来水接至项目地，抓紧完成土地交地工作和地面附着物的兑付，为顺鲜物流创造开工建设条件。同时，为保证木兰畅谷园区配套设施建设的落地，我街争取到将木兰畅谷道路建设列入2019年区政府投资计划，同时木兰畅谷道路基础设施建设已被列为区政协1号建议案，我街已开展项目前期规划、勘测、设计、地面调查等工作，并致力于服务企业，助力企业发展。</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集体建设用地建设租赁住房试点铺开。</w:t>
      </w:r>
      <w:r>
        <w:rPr>
          <w:rFonts w:hint="eastAsia" w:ascii="仿宋" w:hAnsi="仿宋" w:eastAsia="仿宋"/>
          <w:sz w:val="32"/>
          <w:szCs w:val="32"/>
        </w:rPr>
        <w:t>经区委、区政府选址和研究申报，滠口村成为我区第一个集体建设用地建设租赁住房试点，将与武汉市保障性住房投资建设有限公司集体合作开发租赁房。滠口村将以集体土地使用权作价入股成立合资公司，为租赁住房试点工作积累宝贵的改革经验。</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基础设施建设紧锣密鼓。</w:t>
      </w:r>
      <w:r>
        <w:rPr>
          <w:rFonts w:hint="eastAsia" w:ascii="仿宋" w:hAnsi="仿宋" w:eastAsia="仿宋"/>
          <w:sz w:val="32"/>
          <w:szCs w:val="32"/>
        </w:rPr>
        <w:t>加快四环线、武大高速、滨湖路延长线等13条主干及支网建设进度，进一步完善街内外交通循环。四环线需在我街征地1095.55亩、拆迁4.5万㎡，截至目前，征地工作全部完成，拆迁完成97%。滨湖路延长线项目征地拆迁工作已完成。环湖路地已征完，完成拆迁1051㎡，剩余水泥厂3987㎡等待评估结果。泵站河西路南段工程已正式启动建设。明富街延长线新建工程正在征地，已招投标。汉口北数码城南路目前正在办理土地手续。客运中心西环线延伸线，目前正在招标。新河特大桥主桥胜利合拢，标志着大桥主体工程全面完工，桥面铺装、交通工程等后续施工将全面展开。南湖互通立交征地基本完成。武汉至大悟高速公路项目正在筹备阶段</w:t>
      </w:r>
      <w:r>
        <w:rPr>
          <w:rFonts w:ascii="仿宋" w:hAnsi="仿宋" w:eastAsia="仿宋"/>
          <w:sz w:val="32"/>
          <w:szCs w:val="32"/>
        </w:rPr>
        <w:t>……</w:t>
      </w:r>
      <w:r>
        <w:rPr>
          <w:rFonts w:hint="eastAsia" w:ascii="仿宋" w:hAnsi="仿宋" w:eastAsia="仿宋"/>
          <w:sz w:val="32"/>
          <w:szCs w:val="32"/>
        </w:rPr>
        <w:t>此外，营盘里小游园园区道路及排水管网建设已完成。滠阳大道立面整治手续已办理完毕，整治工程正在施工。滠阳大道机动车及人行道路面改造和排水、路灯等新建工程已完工。滠口垃圾中转站选址新建，日转运量达150吨，正在办理前期手续。滠口花卉市场小游园已启动，相关手续在办理中。</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还建房建设项目加快推进。</w:t>
      </w:r>
      <w:r>
        <w:rPr>
          <w:rFonts w:hint="eastAsia" w:ascii="仿宋" w:hAnsi="仿宋" w:eastAsia="仿宋"/>
          <w:sz w:val="32"/>
          <w:szCs w:val="32"/>
        </w:rPr>
        <w:t>南湖还建点一期总建筑面积221857.97平方米，房屋1736套，主要承担约1500户失地农民的还建任务，一期封顶的9栋房屋配套设施建设正在完善中；统筹长松还建点安置工作。我街重点工程拆迁达150万平方米，按总量测算，按平均65%的还建率，需还建面积约98万平方米。街道前期已先后交付使用还建点4个共计30.4万平方米，长松还建点（一期）21万㎡已建成并交付使用。同时，为了弥补还建缺口，经统筹安排，街道已启动长松还建点(二期)19万平方米的建设工作，总建筑面积198335.4㎡，桩基工程已完工，正在进行地下工程施工，计划今年年底主体工程封顶，2019年年底竣工。</w:t>
      </w:r>
    </w:p>
    <w:p>
      <w:pPr>
        <w:spacing w:line="340" w:lineRule="exact"/>
        <w:ind w:firstLine="630" w:firstLineChars="196"/>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以实实在在的举措体现扶贫成效</w:t>
      </w:r>
    </w:p>
    <w:p>
      <w:pPr>
        <w:spacing w:line="340" w:lineRule="exact"/>
        <w:ind w:firstLine="630" w:firstLineChars="196"/>
        <w:rPr>
          <w:rFonts w:ascii="仿宋" w:hAnsi="仿宋" w:eastAsia="仿宋"/>
          <w:sz w:val="32"/>
          <w:szCs w:val="32"/>
        </w:rPr>
      </w:pPr>
      <w:r>
        <w:rPr>
          <w:rFonts w:ascii="仿宋" w:hAnsi="仿宋" w:eastAsia="仿宋"/>
          <w:b/>
          <w:sz w:val="32"/>
          <w:szCs w:val="32"/>
        </w:rPr>
        <w:t>一是提高思想认识抓整改。</w:t>
      </w:r>
      <w:r>
        <w:rPr>
          <w:rFonts w:ascii="仿宋" w:hAnsi="仿宋" w:eastAsia="仿宋"/>
          <w:sz w:val="32"/>
          <w:szCs w:val="32"/>
        </w:rPr>
        <w:t>组织街、村两级及时签订目标责任书，保障切实落实年度责任目标。向13个村指派驻村工作队，负责精准扶贫集中整改工作，全面走访，清查问题，及时整改到位。切实解决挂虚名、帮扶工作流于形式等问题。积极组织干部开展送健康、送科技、送温暖“三送”活动</w:t>
      </w:r>
      <w:r>
        <w:rPr>
          <w:rFonts w:hint="eastAsia" w:ascii="仿宋" w:hAnsi="仿宋" w:eastAsia="仿宋"/>
          <w:sz w:val="32"/>
          <w:szCs w:val="32"/>
        </w:rPr>
        <w:t>，</w:t>
      </w:r>
      <w:r>
        <w:rPr>
          <w:rFonts w:ascii="仿宋" w:hAnsi="仿宋" w:eastAsia="仿宋"/>
          <w:sz w:val="32"/>
          <w:szCs w:val="32"/>
        </w:rPr>
        <w:t>同时加大医疗扶贫政策宣传力度，在所有行政村公示栏和贫困户家中张贴宣传图片，让医疗扶贫政策宣传全覆盖</w:t>
      </w:r>
      <w:r>
        <w:rPr>
          <w:rFonts w:hint="eastAsia" w:ascii="仿宋" w:hAnsi="仿宋" w:eastAsia="仿宋"/>
          <w:sz w:val="32"/>
          <w:szCs w:val="32"/>
        </w:rPr>
        <w:t>。</w:t>
      </w:r>
    </w:p>
    <w:p>
      <w:pPr>
        <w:spacing w:line="340" w:lineRule="exact"/>
        <w:ind w:firstLine="630" w:firstLineChars="196"/>
        <w:rPr>
          <w:rFonts w:ascii="仿宋" w:hAnsi="仿宋" w:eastAsia="仿宋"/>
          <w:sz w:val="32"/>
          <w:szCs w:val="32"/>
        </w:rPr>
      </w:pPr>
      <w:r>
        <w:rPr>
          <w:rFonts w:hint="eastAsia" w:ascii="仿宋" w:hAnsi="仿宋" w:eastAsia="仿宋"/>
          <w:b/>
          <w:sz w:val="32"/>
          <w:szCs w:val="32"/>
        </w:rPr>
        <w:t>二</w:t>
      </w:r>
      <w:r>
        <w:rPr>
          <w:rFonts w:ascii="仿宋" w:hAnsi="仿宋" w:eastAsia="仿宋"/>
          <w:b/>
          <w:sz w:val="32"/>
          <w:szCs w:val="32"/>
        </w:rPr>
        <w:t>是认真做好对口帮扶工作。</w:t>
      </w:r>
      <w:r>
        <w:rPr>
          <w:rFonts w:ascii="仿宋" w:hAnsi="仿宋" w:eastAsia="仿宋"/>
          <w:sz w:val="32"/>
          <w:szCs w:val="32"/>
        </w:rPr>
        <w:t>李家集街新庙村一直以来是我街对口帮扶单位，为了发展村集体经济，更好地为村民服务，街道党工委、办事处先后拿出数十万元的扶持资金，用于光伏发电项目的完善，有效</w:t>
      </w:r>
      <w:r>
        <w:rPr>
          <w:rFonts w:hint="eastAsia" w:ascii="仿宋" w:hAnsi="仿宋" w:eastAsia="仿宋"/>
          <w:sz w:val="32"/>
          <w:szCs w:val="32"/>
          <w:lang w:eastAsia="zh-CN"/>
        </w:rPr>
        <w:t>地增强了</w:t>
      </w:r>
      <w:r>
        <w:rPr>
          <w:rFonts w:ascii="仿宋" w:hAnsi="仿宋" w:eastAsia="仿宋"/>
          <w:sz w:val="32"/>
          <w:szCs w:val="32"/>
        </w:rPr>
        <w:t>村集体经济，为贫困户脱贫打下了坚实的基础</w:t>
      </w:r>
      <w:r>
        <w:rPr>
          <w:rFonts w:hint="eastAsia" w:ascii="仿宋" w:hAnsi="仿宋" w:eastAsia="仿宋"/>
          <w:sz w:val="32"/>
          <w:szCs w:val="32"/>
        </w:rPr>
        <w:t>。</w:t>
      </w:r>
    </w:p>
    <w:p>
      <w:pPr>
        <w:spacing w:line="340" w:lineRule="exact"/>
        <w:ind w:firstLine="630" w:firstLineChars="196"/>
        <w:rPr>
          <w:rFonts w:ascii="仿宋" w:hAnsi="仿宋" w:eastAsia="仿宋"/>
          <w:color w:val="000000"/>
          <w:sz w:val="30"/>
          <w:szCs w:val="30"/>
        </w:rPr>
      </w:pPr>
      <w:r>
        <w:rPr>
          <w:rFonts w:hint="eastAsia" w:ascii="仿宋" w:hAnsi="仿宋" w:eastAsia="仿宋"/>
          <w:b/>
          <w:sz w:val="32"/>
          <w:szCs w:val="32"/>
        </w:rPr>
        <w:t>三是为深入推进我街可持续精准扶贫工作。</w:t>
      </w:r>
      <w:r>
        <w:rPr>
          <w:rFonts w:hint="eastAsia" w:ascii="仿宋" w:hAnsi="仿宋" w:eastAsia="仿宋"/>
          <w:color w:val="000000"/>
          <w:sz w:val="30"/>
          <w:szCs w:val="30"/>
        </w:rPr>
        <w:t>重点对“中国社会扶贫网”的推广运用进行宣传，广泛发动群众积极注册“爱心人士”，持续关注扶贫动态，为脱贫摘帽贡献力量。</w:t>
      </w:r>
      <w:r>
        <w:rPr>
          <w:rFonts w:hint="eastAsia" w:ascii="仿宋" w:hAnsi="仿宋" w:eastAsia="仿宋"/>
          <w:sz w:val="32"/>
          <w:szCs w:val="32"/>
        </w:rPr>
        <w:t>截至目前，滠口街精准扶户273户558人，产业扶持的13户32人，技能培训转移的10户31人，政策兜底保障脱贫的217户409人，助学扶智帮扶的7户19人，医疗救助扶持的26户67人，基本实现精准扶贫户本人无自费部分支出。</w:t>
      </w:r>
    </w:p>
    <w:p>
      <w:pPr>
        <w:spacing w:line="340" w:lineRule="exact"/>
        <w:ind w:firstLine="643" w:firstLineChars="200"/>
        <w:rPr>
          <w:rFonts w:ascii="仿宋" w:hAnsi="仿宋" w:eastAsia="仿宋"/>
          <w:b/>
          <w:sz w:val="32"/>
          <w:szCs w:val="32"/>
        </w:rPr>
      </w:pPr>
      <w:r>
        <w:rPr>
          <w:rFonts w:hint="eastAsia" w:ascii="仿宋" w:hAnsi="仿宋" w:eastAsia="仿宋"/>
          <w:b/>
          <w:sz w:val="32"/>
          <w:szCs w:val="32"/>
        </w:rPr>
        <w:t>（三）齐抓共管</w:t>
      </w:r>
      <w:r>
        <w:rPr>
          <w:rFonts w:ascii="仿宋" w:hAnsi="仿宋" w:eastAsia="仿宋"/>
          <w:b/>
          <w:sz w:val="32"/>
          <w:szCs w:val="32"/>
        </w:rPr>
        <w:t>加强</w:t>
      </w:r>
      <w:r>
        <w:rPr>
          <w:rFonts w:hint="eastAsia" w:ascii="仿宋" w:hAnsi="仿宋" w:eastAsia="仿宋"/>
          <w:b/>
          <w:sz w:val="32"/>
          <w:szCs w:val="32"/>
        </w:rPr>
        <w:t>生态</w:t>
      </w:r>
      <w:r>
        <w:rPr>
          <w:rFonts w:ascii="仿宋" w:hAnsi="仿宋" w:eastAsia="仿宋"/>
          <w:b/>
          <w:sz w:val="32"/>
          <w:szCs w:val="32"/>
        </w:rPr>
        <w:t>环境保护</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一</w:t>
      </w:r>
      <w:r>
        <w:rPr>
          <w:rFonts w:ascii="仿宋" w:hAnsi="仿宋" w:eastAsia="仿宋"/>
          <w:b/>
          <w:sz w:val="32"/>
          <w:szCs w:val="32"/>
        </w:rPr>
        <w:t>是</w:t>
      </w:r>
      <w:r>
        <w:rPr>
          <w:rFonts w:hint="eastAsia" w:ascii="仿宋" w:hAnsi="仿宋" w:eastAsia="仿宋"/>
          <w:b/>
          <w:sz w:val="32"/>
          <w:szCs w:val="32"/>
        </w:rPr>
        <w:t>推进畜禽退养工作。</w:t>
      </w:r>
      <w:r>
        <w:rPr>
          <w:rFonts w:ascii="仿宋" w:hAnsi="仿宋" w:eastAsia="仿宋"/>
          <w:sz w:val="32"/>
          <w:szCs w:val="32"/>
        </w:rPr>
        <w:t>关停河湖周边养鸡场26户，</w:t>
      </w:r>
      <w:r>
        <w:rPr>
          <w:rFonts w:hint="eastAsia" w:ascii="仿宋" w:hAnsi="仿宋" w:eastAsia="仿宋"/>
          <w:sz w:val="32"/>
          <w:szCs w:val="32"/>
        </w:rPr>
        <w:t>蛋鸡</w:t>
      </w:r>
      <w:r>
        <w:rPr>
          <w:rFonts w:ascii="仿宋" w:hAnsi="仿宋" w:eastAsia="仿宋"/>
          <w:sz w:val="32"/>
          <w:szCs w:val="32"/>
        </w:rPr>
        <w:t>22万只，拆除栏舍面积7194平方米，退养羊1户20只</w:t>
      </w:r>
      <w:r>
        <w:rPr>
          <w:rFonts w:hint="eastAsia" w:ascii="仿宋" w:hAnsi="仿宋" w:eastAsia="仿宋"/>
          <w:sz w:val="32"/>
          <w:szCs w:val="32"/>
        </w:rPr>
        <w:t>；</w:t>
      </w:r>
      <w:r>
        <w:rPr>
          <w:rFonts w:hint="eastAsia" w:ascii="仿宋" w:hAnsi="仿宋" w:eastAsia="仿宋"/>
          <w:b/>
          <w:sz w:val="32"/>
          <w:szCs w:val="32"/>
        </w:rPr>
        <w:t>二是建立村级河长制及细化职责。</w:t>
      </w:r>
      <w:r>
        <w:rPr>
          <w:rFonts w:hint="eastAsia" w:ascii="仿宋" w:hAnsi="仿宋" w:eastAsia="仿宋"/>
          <w:sz w:val="32"/>
          <w:szCs w:val="32"/>
        </w:rPr>
        <w:t>对我街2条河流和4个湖泊进行了信息收集和整理。将河湖岸坡保洁延伸到沿岸村湾，清理河湖坡岸垃圾和废弃物，全面实现集中转运处理。</w:t>
      </w:r>
      <w:r>
        <w:rPr>
          <w:rFonts w:ascii="仿宋" w:hAnsi="仿宋" w:eastAsia="仿宋"/>
          <w:sz w:val="32"/>
          <w:szCs w:val="32"/>
        </w:rPr>
        <w:t>对南湖村26条大小沟渠进行了清淤处理，清淤长度4000多米，清理淤泥1500方，有效的改善了沟渠的水环境。加大垃圾清运频次，确保无垃圾露天堆放。</w:t>
      </w:r>
      <w:r>
        <w:rPr>
          <w:rFonts w:hint="eastAsia" w:ascii="仿宋" w:hAnsi="仿宋" w:eastAsia="仿宋"/>
          <w:sz w:val="32"/>
          <w:szCs w:val="32"/>
        </w:rPr>
        <w:t>组织打捞五条泵站河长6.95公里306200平方米水草水生物及周边杂草和垃圾，其中三闸泵站河、什仔湖泵站、小菜湖泵站河清理面积126700，后湖泵站河、民生闸老泵站河清理面积179500平方米，清理河湖边固体废弃物38处。拆除什仔湖围网1处，小菜湖竹杆拔除1处，拆除滠水河堤内厂房3542平方米，堤外废弃建筑462平方米；</w:t>
      </w:r>
      <w:r>
        <w:rPr>
          <w:rFonts w:hint="eastAsia" w:ascii="仿宋" w:hAnsi="仿宋" w:eastAsia="仿宋"/>
          <w:b/>
          <w:sz w:val="32"/>
          <w:szCs w:val="32"/>
        </w:rPr>
        <w:t>三</w:t>
      </w:r>
      <w:r>
        <w:rPr>
          <w:rFonts w:ascii="仿宋" w:hAnsi="仿宋" w:eastAsia="仿宋"/>
          <w:b/>
          <w:sz w:val="32"/>
          <w:szCs w:val="32"/>
        </w:rPr>
        <w:t>是加大对小作坊的管控</w:t>
      </w:r>
      <w:r>
        <w:rPr>
          <w:rFonts w:hint="eastAsia" w:ascii="仿宋" w:hAnsi="仿宋" w:eastAsia="仿宋"/>
          <w:b/>
          <w:sz w:val="32"/>
          <w:szCs w:val="32"/>
        </w:rPr>
        <w:t>。</w:t>
      </w:r>
      <w:r>
        <w:rPr>
          <w:rFonts w:ascii="仿宋" w:hAnsi="仿宋" w:eastAsia="仿宋"/>
          <w:sz w:val="32"/>
          <w:szCs w:val="32"/>
        </w:rPr>
        <w:t>取缔和关停</w:t>
      </w:r>
      <w:r>
        <w:rPr>
          <w:rFonts w:hint="eastAsia" w:ascii="仿宋" w:hAnsi="仿宋" w:eastAsia="仿宋"/>
          <w:sz w:val="32"/>
          <w:szCs w:val="32"/>
        </w:rPr>
        <w:t>南湖村</w:t>
      </w:r>
      <w:r>
        <w:rPr>
          <w:rFonts w:ascii="仿宋" w:hAnsi="仿宋" w:eastAsia="仿宋"/>
          <w:sz w:val="32"/>
          <w:szCs w:val="32"/>
        </w:rPr>
        <w:t>小作坊41家，暂扣生产设备24台次，有效</w:t>
      </w:r>
      <w:r>
        <w:rPr>
          <w:rFonts w:hint="eastAsia" w:ascii="仿宋" w:hAnsi="仿宋" w:eastAsia="仿宋"/>
          <w:sz w:val="32"/>
          <w:szCs w:val="32"/>
        </w:rPr>
        <w:t>地</w:t>
      </w:r>
      <w:r>
        <w:rPr>
          <w:rFonts w:ascii="仿宋" w:hAnsi="仿宋" w:eastAsia="仿宋"/>
          <w:sz w:val="32"/>
          <w:szCs w:val="32"/>
        </w:rPr>
        <w:t>制止了小作坊排放污水。取缔什仔湖周边4户无证豆制品加工黑作坊，关停整治小作坊3户，解决了养殖排废污染河湖水环境问题</w:t>
      </w:r>
      <w:r>
        <w:rPr>
          <w:rFonts w:hint="eastAsia" w:ascii="仿宋" w:hAnsi="仿宋" w:eastAsia="仿宋"/>
          <w:sz w:val="32"/>
          <w:szCs w:val="32"/>
        </w:rPr>
        <w:t>；</w:t>
      </w:r>
      <w:r>
        <w:rPr>
          <w:rFonts w:hint="eastAsia" w:ascii="仿宋" w:hAnsi="仿宋" w:eastAsia="仿宋"/>
          <w:b/>
          <w:sz w:val="32"/>
          <w:szCs w:val="32"/>
        </w:rPr>
        <w:t>四</w:t>
      </w:r>
      <w:r>
        <w:rPr>
          <w:rFonts w:ascii="仿宋" w:hAnsi="仿宋" w:eastAsia="仿宋"/>
          <w:b/>
          <w:sz w:val="32"/>
          <w:szCs w:val="32"/>
        </w:rPr>
        <w:t>是加大</w:t>
      </w:r>
      <w:r>
        <w:rPr>
          <w:rFonts w:hint="eastAsia" w:ascii="仿宋" w:hAnsi="仿宋" w:eastAsia="仿宋"/>
          <w:b/>
          <w:sz w:val="32"/>
          <w:szCs w:val="32"/>
        </w:rPr>
        <w:t>禁烧宣传力度。</w:t>
      </w:r>
      <w:r>
        <w:rPr>
          <w:rFonts w:hint="eastAsia" w:ascii="仿宋" w:hAnsi="仿宋" w:eastAsia="仿宋"/>
          <w:sz w:val="32"/>
          <w:szCs w:val="32"/>
        </w:rPr>
        <w:t>加强</w:t>
      </w:r>
      <w:r>
        <w:rPr>
          <w:rFonts w:ascii="仿宋" w:hAnsi="仿宋" w:eastAsia="仿宋"/>
          <w:sz w:val="32"/>
          <w:szCs w:val="32"/>
        </w:rPr>
        <w:t>秸秆</w:t>
      </w:r>
      <w:r>
        <w:rPr>
          <w:rFonts w:hint="eastAsia" w:ascii="仿宋" w:hAnsi="仿宋" w:eastAsia="仿宋"/>
          <w:sz w:val="32"/>
          <w:szCs w:val="32"/>
        </w:rPr>
        <w:t>、</w:t>
      </w:r>
      <w:r>
        <w:rPr>
          <w:rFonts w:ascii="仿宋" w:hAnsi="仿宋" w:eastAsia="仿宋"/>
          <w:sz w:val="32"/>
          <w:szCs w:val="32"/>
        </w:rPr>
        <w:t>城镇垃圾焚烧的宣传</w:t>
      </w:r>
      <w:r>
        <w:rPr>
          <w:rFonts w:hint="eastAsia" w:ascii="仿宋" w:hAnsi="仿宋" w:eastAsia="仿宋"/>
          <w:sz w:val="32"/>
          <w:szCs w:val="32"/>
        </w:rPr>
        <w:t>，</w:t>
      </w:r>
      <w:r>
        <w:rPr>
          <w:rFonts w:ascii="仿宋" w:hAnsi="仿宋" w:eastAsia="仿宋"/>
          <w:sz w:val="32"/>
          <w:szCs w:val="32"/>
        </w:rPr>
        <w:t>防治大气污染改善大气环境</w:t>
      </w:r>
      <w:r>
        <w:rPr>
          <w:rFonts w:hint="eastAsia" w:ascii="仿宋" w:hAnsi="仿宋" w:eastAsia="仿宋"/>
          <w:sz w:val="32"/>
          <w:szCs w:val="32"/>
        </w:rPr>
        <w:t>；</w:t>
      </w:r>
      <w:r>
        <w:rPr>
          <w:rFonts w:hint="eastAsia" w:ascii="仿宋" w:hAnsi="仿宋" w:eastAsia="仿宋"/>
          <w:b/>
          <w:sz w:val="32"/>
          <w:szCs w:val="32"/>
        </w:rPr>
        <w:t>五</w:t>
      </w:r>
      <w:r>
        <w:rPr>
          <w:rFonts w:ascii="仿宋" w:hAnsi="仿宋" w:eastAsia="仿宋"/>
          <w:b/>
          <w:sz w:val="32"/>
          <w:szCs w:val="32"/>
        </w:rPr>
        <w:t>是加大生活污水改造力度</w:t>
      </w:r>
      <w:r>
        <w:rPr>
          <w:rFonts w:hint="eastAsia" w:ascii="仿宋" w:hAnsi="仿宋" w:eastAsia="仿宋"/>
          <w:b/>
          <w:sz w:val="32"/>
          <w:szCs w:val="32"/>
        </w:rPr>
        <w:t>。</w:t>
      </w:r>
      <w:r>
        <w:rPr>
          <w:rFonts w:hint="eastAsia" w:ascii="仿宋" w:hAnsi="仿宋" w:eastAsia="仿宋"/>
          <w:sz w:val="32"/>
          <w:szCs w:val="32"/>
        </w:rPr>
        <w:t>完成镇区雨污分流工程竣工验收。加大生产污水处理力度，企业排污口共4处，已交由</w:t>
      </w:r>
      <w:r>
        <w:rPr>
          <w:rFonts w:hint="eastAsia" w:ascii="仿宋" w:hAnsi="仿宋" w:eastAsia="仿宋"/>
          <w:sz w:val="32"/>
          <w:szCs w:val="32"/>
          <w:lang w:eastAsia="zh-CN"/>
        </w:rPr>
        <w:t>生态环境局</w:t>
      </w:r>
      <w:r>
        <w:rPr>
          <w:rFonts w:hint="eastAsia" w:ascii="仿宋" w:hAnsi="仿宋" w:eastAsia="仿宋"/>
          <w:sz w:val="32"/>
          <w:szCs w:val="32"/>
        </w:rPr>
        <w:t>处理。后湖排污口滠口片区共8处，已安排环卫所对其疏通清理。</w:t>
      </w:r>
    </w:p>
    <w:p>
      <w:pPr>
        <w:spacing w:line="360" w:lineRule="exact"/>
        <w:ind w:firstLine="643" w:firstLineChars="200"/>
        <w:rPr>
          <w:rFonts w:ascii="仿宋" w:hAnsi="仿宋" w:eastAsia="仿宋"/>
          <w:b/>
          <w:sz w:val="32"/>
          <w:szCs w:val="32"/>
        </w:rPr>
      </w:pPr>
      <w:r>
        <w:rPr>
          <w:rFonts w:hint="eastAsia" w:ascii="仿宋" w:hAnsi="仿宋" w:eastAsia="仿宋"/>
          <w:b/>
          <w:sz w:val="32"/>
          <w:szCs w:val="32"/>
        </w:rPr>
        <w:t>（四）加强基层文化阵地建设，加强教育基础设施建设。</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打造居民休闲娱乐好去处。</w:t>
      </w:r>
      <w:r>
        <w:rPr>
          <w:rFonts w:hint="eastAsia" w:ascii="仿宋" w:hAnsi="仿宋" w:eastAsia="仿宋"/>
          <w:sz w:val="32"/>
          <w:szCs w:val="32"/>
        </w:rPr>
        <w:t>我街今年投入6000万分别新建了汉北游园和营盘山游园，营盘里小游园已完工，逐步改善群众娱乐健身场所不足的现状。我街正在规划建设占地400亩的木兰畅谷主题公园，方便街道居民锻炼和进行文化体育活动。连续3年向区委、区政府和区两会提交建议和议案，拟沿着民生堤打造府河公园。</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补齐基础教育设施短板。</w:t>
      </w:r>
      <w:r>
        <w:rPr>
          <w:rFonts w:hint="eastAsia" w:ascii="仿宋" w:hAnsi="仿宋" w:eastAsia="仿宋"/>
          <w:sz w:val="32"/>
          <w:szCs w:val="32"/>
        </w:rPr>
        <w:t>滠口一小改扩建工程正在办理前期手续。滠口二小（二期）工程已完成并部分交付使用。今年6月，坐落于汉口北市场群中的滠口街道第三小学工程建设全部完工，于9月份开始招收新的学生。青年城九年一贯制学校手续正在办理，工程正在加速推进。</w:t>
      </w:r>
    </w:p>
    <w:p>
      <w:pPr>
        <w:spacing w:line="360" w:lineRule="exact"/>
        <w:ind w:firstLine="643" w:firstLineChars="200"/>
        <w:rPr>
          <w:rFonts w:ascii="仿宋" w:hAnsi="仿宋" w:eastAsia="仿宋"/>
          <w:b/>
          <w:sz w:val="32"/>
          <w:szCs w:val="32"/>
        </w:rPr>
      </w:pPr>
      <w:r>
        <w:rPr>
          <w:rFonts w:hint="eastAsia" w:ascii="仿宋" w:hAnsi="仿宋" w:eastAsia="仿宋"/>
          <w:b/>
          <w:sz w:val="32"/>
          <w:szCs w:val="32"/>
        </w:rPr>
        <w:t>（五）加强社会建设，筑牢高质量发展基石</w:t>
      </w:r>
    </w:p>
    <w:p>
      <w:pPr>
        <w:spacing w:line="380" w:lineRule="exact"/>
        <w:ind w:firstLine="643" w:firstLineChars="200"/>
        <w:rPr>
          <w:rFonts w:ascii="仿宋" w:hAnsi="仿宋" w:eastAsia="仿宋"/>
          <w:sz w:val="32"/>
          <w:szCs w:val="32"/>
        </w:rPr>
      </w:pPr>
      <w:r>
        <w:rPr>
          <w:rFonts w:hint="eastAsia" w:ascii="仿宋" w:hAnsi="仿宋" w:eastAsia="仿宋"/>
          <w:b/>
          <w:sz w:val="32"/>
          <w:szCs w:val="32"/>
        </w:rPr>
        <w:t>升级街道市政建设管理。</w:t>
      </w:r>
      <w:r>
        <w:rPr>
          <w:rFonts w:hint="eastAsia" w:ascii="仿宋" w:hAnsi="仿宋" w:eastAsia="仿宋"/>
          <w:sz w:val="32"/>
          <w:szCs w:val="32"/>
        </w:rPr>
        <w:t>推进集中整治与日常管理相衔接，保持控违、拆违高压态势，巩固环境整治成果，推进智慧城管建设，及时准确处理各类投诉案件。大力推进街道基础设施建设和街区设施维护工作，新增加路灯二百多盏。启动滠阳大道两边房屋立面整治工作，对富兴社区驻龙花园和富兴花园、龙巢社区3个“红色物业”老旧小区内部环境进行红色物业拓面提质施工，改善老旧小区居住环境，解决物业服务缺位问题，形成示范效应。</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城市管理工作硕果累累。</w:t>
      </w:r>
      <w:r>
        <w:rPr>
          <w:rFonts w:hint="eastAsia" w:ascii="仿宋" w:hAnsi="仿宋" w:eastAsia="仿宋" w:cs="仿宋"/>
          <w:color w:val="333333"/>
          <w:sz w:val="30"/>
          <w:szCs w:val="30"/>
          <w:shd w:val="clear" w:color="auto" w:fill="FFFFFF"/>
        </w:rPr>
        <w:t>今年</w:t>
      </w:r>
      <w:r>
        <w:rPr>
          <w:rFonts w:hint="eastAsia" w:ascii="仿宋" w:hAnsi="仿宋" w:eastAsia="仿宋"/>
          <w:sz w:val="32"/>
          <w:szCs w:val="32"/>
        </w:rPr>
        <w:t>3月，在大城管市第三方检查中，滠口街获得全市三类街道第一名，10月份又获得第四名，先后两次进入前十。今年3、5、6、8月，滠口街在区控查违绩效排名中都获得第一名。一方面，深入开展村湾环境整治和户外经营专项整治行动，对不履行门前三包责任的违法行为，发现一起，处理一起；另一方面，坚持以治违绩效考核为抓手，按照以控为主，以拆促控，拆控并举的思路，深入开展违法违章整治工作，确保新增违法建设零增长，逐渐消化存量违法建设。</w:t>
      </w:r>
    </w:p>
    <w:p>
      <w:pPr>
        <w:spacing w:line="340" w:lineRule="exact"/>
        <w:ind w:firstLine="630" w:firstLineChars="196"/>
        <w:rPr>
          <w:rFonts w:ascii="仿宋" w:hAnsi="仿宋" w:eastAsia="仿宋"/>
          <w:sz w:val="32"/>
          <w:szCs w:val="32"/>
        </w:rPr>
      </w:pPr>
      <w:r>
        <w:rPr>
          <w:rFonts w:hint="eastAsia" w:ascii="仿宋" w:hAnsi="仿宋" w:eastAsia="仿宋"/>
          <w:b/>
          <w:sz w:val="32"/>
          <w:szCs w:val="32"/>
        </w:rPr>
        <w:t>危房改造“圆梦”困难农户。</w:t>
      </w:r>
      <w:r>
        <w:rPr>
          <w:rFonts w:hint="eastAsia" w:ascii="仿宋" w:hAnsi="仿宋" w:eastAsia="仿宋"/>
          <w:sz w:val="32"/>
          <w:szCs w:val="32"/>
        </w:rPr>
        <w:t>根据住房最危险，经济最困难，有最基本安全住房的“三最”要求和标准，我街确定了2018年农村危房改造对象。我街采取由农户自建，经相关部门验收合格后，由财政按标准对每户补助的方式推进危房改造民生工程的实施，截至目前，已完成2018年农村危房改造任务，其中，危房改造户数共计为7户，4户为D级，3户为C级，资金已全面打卡发放到农户。</w:t>
      </w:r>
    </w:p>
    <w:p>
      <w:pPr>
        <w:spacing w:line="340" w:lineRule="exact"/>
        <w:ind w:firstLine="630" w:firstLineChars="196"/>
        <w:rPr>
          <w:rFonts w:ascii="仿宋" w:hAnsi="仿宋" w:eastAsia="仿宋"/>
          <w:sz w:val="32"/>
          <w:szCs w:val="32"/>
        </w:rPr>
      </w:pPr>
      <w:r>
        <w:rPr>
          <w:rFonts w:hint="eastAsia" w:ascii="仿宋" w:hAnsi="仿宋" w:eastAsia="仿宋"/>
          <w:b/>
          <w:sz w:val="32"/>
          <w:szCs w:val="32"/>
        </w:rPr>
        <w:t>积极推进养老事业产业发展。</w:t>
      </w:r>
      <w:r>
        <w:rPr>
          <w:rFonts w:hint="eastAsia" w:ascii="仿宋" w:hAnsi="仿宋" w:eastAsia="仿宋"/>
          <w:sz w:val="32"/>
          <w:szCs w:val="32"/>
        </w:rPr>
        <w:t>新建幸福食堂1个，老年服务中心1个，创建老年宜居社区2个。</w:t>
      </w:r>
    </w:p>
    <w:p>
      <w:pPr>
        <w:spacing w:line="340" w:lineRule="exact"/>
        <w:ind w:firstLine="641"/>
        <w:rPr>
          <w:rFonts w:ascii="仿宋" w:hAnsi="仿宋" w:eastAsia="仿宋"/>
          <w:sz w:val="32"/>
          <w:szCs w:val="32"/>
        </w:rPr>
      </w:pPr>
      <w:r>
        <w:rPr>
          <w:rFonts w:hint="eastAsia" w:ascii="仿宋" w:hAnsi="仿宋" w:eastAsia="仿宋"/>
          <w:b/>
          <w:sz w:val="32"/>
          <w:szCs w:val="32"/>
        </w:rPr>
        <w:t>助力政务中心“一张网”建设。</w:t>
      </w:r>
      <w:r>
        <w:rPr>
          <w:rFonts w:hint="eastAsia" w:ascii="仿宋" w:hAnsi="仿宋" w:eastAsia="仿宋"/>
          <w:sz w:val="32"/>
          <w:szCs w:val="32"/>
        </w:rPr>
        <w:t>全面完成</w:t>
      </w:r>
      <w:r>
        <w:rPr>
          <w:rFonts w:ascii="仿宋" w:hAnsi="仿宋" w:eastAsia="仿宋"/>
          <w:sz w:val="32"/>
          <w:szCs w:val="32"/>
        </w:rPr>
        <w:t>对便民服务大厅进行提质提档硬件改造和“一站式服务大厅”的打造</w:t>
      </w:r>
      <w:r>
        <w:rPr>
          <w:rFonts w:hint="eastAsia" w:ascii="仿宋" w:hAnsi="仿宋" w:eastAsia="仿宋"/>
          <w:sz w:val="32"/>
          <w:szCs w:val="32"/>
        </w:rPr>
        <w:t>，</w:t>
      </w:r>
      <w:r>
        <w:rPr>
          <w:rFonts w:ascii="仿宋" w:hAnsi="仿宋" w:eastAsia="仿宋"/>
          <w:sz w:val="32"/>
          <w:szCs w:val="32"/>
        </w:rPr>
        <w:t>新便民服务大厅面积300平方米，设8个政务窗口</w:t>
      </w:r>
      <w:r>
        <w:rPr>
          <w:rFonts w:hint="eastAsia" w:ascii="仿宋" w:hAnsi="仿宋" w:eastAsia="仿宋"/>
          <w:sz w:val="32"/>
          <w:szCs w:val="32"/>
        </w:rPr>
        <w:t>，</w:t>
      </w:r>
      <w:r>
        <w:rPr>
          <w:rFonts w:ascii="仿宋" w:hAnsi="仿宋" w:eastAsia="仿宋"/>
          <w:sz w:val="32"/>
          <w:szCs w:val="32"/>
        </w:rPr>
        <w:t>对各站所抽调至便民大厅窗口人员实行统一管理</w:t>
      </w:r>
      <w:r>
        <w:rPr>
          <w:rFonts w:hint="eastAsia" w:ascii="仿宋" w:hAnsi="仿宋" w:eastAsia="仿宋"/>
          <w:sz w:val="32"/>
          <w:szCs w:val="32"/>
        </w:rPr>
        <w:t>，</w:t>
      </w:r>
      <w:r>
        <w:rPr>
          <w:rFonts w:ascii="仿宋" w:hAnsi="仿宋" w:eastAsia="仿宋"/>
          <w:sz w:val="32"/>
          <w:szCs w:val="32"/>
        </w:rPr>
        <w:t>严格按照“马上办、网上办、就近办、一次办”的要求</w:t>
      </w:r>
      <w:r>
        <w:rPr>
          <w:rFonts w:hint="eastAsia" w:ascii="仿宋" w:hAnsi="仿宋" w:eastAsia="仿宋"/>
          <w:sz w:val="32"/>
          <w:szCs w:val="32"/>
        </w:rPr>
        <w:t>，努力实现服务方式创新化、便民窗口丰富化、行政效率优质化。</w:t>
      </w:r>
    </w:p>
    <w:p>
      <w:pPr>
        <w:spacing w:line="400" w:lineRule="exact"/>
        <w:ind w:firstLine="641"/>
        <w:rPr>
          <w:rFonts w:ascii="仿宋" w:hAnsi="仿宋" w:eastAsia="仿宋"/>
          <w:sz w:val="32"/>
          <w:szCs w:val="32"/>
        </w:rPr>
      </w:pPr>
      <w:r>
        <w:rPr>
          <w:rFonts w:hint="eastAsia" w:ascii="仿宋" w:hAnsi="仿宋" w:eastAsia="仿宋"/>
          <w:b/>
          <w:sz w:val="32"/>
          <w:szCs w:val="32"/>
        </w:rPr>
        <w:t>实现日常管理长效常态化。</w:t>
      </w:r>
      <w:r>
        <w:rPr>
          <w:rFonts w:hint="eastAsia" w:ascii="仿宋" w:hAnsi="仿宋" w:eastAsia="仿宋"/>
          <w:sz w:val="32"/>
          <w:szCs w:val="32"/>
        </w:rPr>
        <w:t>全面完成所辖各村农村集体资产产权制度改革；加强档案管理，将更新档案库作为例行工作来抓，对新进工作人员进行档案管理培训；对保密重点部门、要害部门加强检查与督促，部署和指导保密自查自评工作；加强对外宣传，党委信息工作排名全区第一；高度重视安全生产工作，加大对辖区内各企业违规运输、经营、使用危险化学品行为的打击力度；街计划生育优质服务创佳绩，被评为市级计划生育优质服务先进单位；基层武装部涌现征兵工作先进个人；信访维稳安保工作成绩优异，被评为区级表现突出单位；乡镇金融生态环境信用体系建设获好评，被评为市级信用乡镇；加强法治建设，做好普法工作，运用法律手段破解信访难题；认真开展文明创建工作，滠口街被列为市级文明街道，滠口街财政所、滠口中学被列为市级文明单位，枫橡咀村、向店村、青峰寺村、什仔湖村列为市级文明村；卫生创建工作取得佳绩，市爱卫会向我街向店村、十里棚村、青峰寺村授予市级卫生村称号，滠口街道办事处、滠口二小获市级卫生先进单位称号；开展精准扶贫人大代表在行动活动和三乡工程人大代表再行动活动，提出《滠水河民生堤段实施整体景观改造》等3项人大议案，顺利补选区级人大代表一名；木兰畅谷4条主干道建设工程被提为政协议案，列入2019年度区政府重点推进项目；扶持女性就业，共建妇女微家，推进村（社区）两委成员比例进一步提高；落实职工工会福利；做好共青团、优抚安置工作。</w:t>
      </w:r>
    </w:p>
    <w:p>
      <w:pPr>
        <w:spacing w:line="360" w:lineRule="exact"/>
        <w:ind w:firstLine="643" w:firstLineChars="200"/>
        <w:rPr>
          <w:rFonts w:ascii="仿宋" w:hAnsi="仿宋" w:eastAsia="仿宋"/>
          <w:b/>
          <w:sz w:val="32"/>
          <w:szCs w:val="32"/>
        </w:rPr>
      </w:pPr>
      <w:r>
        <w:rPr>
          <w:rFonts w:hint="eastAsia" w:ascii="仿宋" w:hAnsi="仿宋" w:eastAsia="仿宋"/>
          <w:b/>
          <w:sz w:val="32"/>
          <w:szCs w:val="32"/>
        </w:rPr>
        <w:t>（六）推进生态文明建设，提升军运会综合环境整治</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做好农村无害化厕所改造工作。</w:t>
      </w:r>
      <w:r>
        <w:rPr>
          <w:rFonts w:hint="eastAsia" w:ascii="仿宋" w:hAnsi="仿宋" w:eastAsia="仿宋"/>
          <w:sz w:val="32"/>
          <w:szCs w:val="32"/>
        </w:rPr>
        <w:t>截至目前共完成3000户农村户厕改造任务，新建城镇公厕5座，新建村湾公厕43座，力争打造桃元村、枫橡村农村污水管网改造示范点。</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锁定时间节点，军运会环境综合整治。</w:t>
      </w:r>
      <w:r>
        <w:rPr>
          <w:rFonts w:hint="eastAsia" w:ascii="仿宋" w:hAnsi="仿宋" w:eastAsia="仿宋"/>
          <w:sz w:val="32"/>
          <w:szCs w:val="32"/>
        </w:rPr>
        <w:t>为展现细致、精致、极致、卓越的城市形象，滠口街全力以赴开展军运会筹备工作。岱黄高速（滠口段）立面整治工作中的沿线房屋墙体刷白工程已全部完工，脚手架搭建、外墙贴砖、安装屋脊、屋顶平改坡、样板房封檐等工作正在进行中，房屋拆迁工作已完成了97%以上。京广高铁、京广线、合武高铁滠口段沿线环境综合整治任务完成95%以上。汉口北大道沿线（滠口段）灯杆道旗广告整改拆除任务全部完成。普及军运会应知应会内容。开展“清洁家园 喜迎军运”主题活动。</w:t>
      </w:r>
    </w:p>
    <w:p>
      <w:pPr>
        <w:spacing w:line="360" w:lineRule="exact"/>
        <w:ind w:firstLine="643" w:firstLineChars="200"/>
        <w:rPr>
          <w:rFonts w:ascii="仿宋" w:hAnsi="仿宋" w:eastAsia="仿宋"/>
          <w:b/>
          <w:sz w:val="32"/>
          <w:szCs w:val="32"/>
        </w:rPr>
      </w:pPr>
      <w:r>
        <w:rPr>
          <w:rFonts w:hint="eastAsia" w:ascii="仿宋" w:hAnsi="仿宋" w:eastAsia="仿宋"/>
          <w:b/>
          <w:sz w:val="32"/>
          <w:szCs w:val="32"/>
        </w:rPr>
        <w:t>（七）加强社会治安综合治理，营造良好发展环境</w:t>
      </w:r>
    </w:p>
    <w:p>
      <w:pPr>
        <w:spacing w:line="360" w:lineRule="exact"/>
        <w:ind w:firstLine="643" w:firstLineChars="200"/>
        <w:rPr>
          <w:rFonts w:ascii="仿宋" w:hAnsi="仿宋" w:eastAsia="仿宋"/>
          <w:sz w:val="32"/>
          <w:szCs w:val="32"/>
        </w:rPr>
      </w:pPr>
      <w:r>
        <w:rPr>
          <w:rFonts w:hint="eastAsia" w:ascii="仿宋" w:hAnsi="仿宋" w:eastAsia="仿宋"/>
          <w:b/>
          <w:sz w:val="32"/>
          <w:szCs w:val="32"/>
        </w:rPr>
        <w:t>推进社会治安综合治理。</w:t>
      </w:r>
      <w:r>
        <w:rPr>
          <w:rFonts w:hint="eastAsia" w:ascii="仿宋" w:hAnsi="仿宋" w:eastAsia="仿宋"/>
          <w:sz w:val="32"/>
          <w:szCs w:val="32"/>
        </w:rPr>
        <w:t>严格落实综治工作责任制，深入开展平安创建宣传活动，对全街道精神障碍人员进行全面筛查，开展胶囊房的联合检查，组织邪教重点关注对象走访工作，发动居民积极举报传销嫌疑人，持续开展学校周边环境整治工作，定期组织涉铁单位进行隐患排查，组建治安联防队伍3支98人，深入开展“雪亮工程”，成立54个网格党支部。</w:t>
      </w:r>
    </w:p>
    <w:p>
      <w:pPr>
        <w:spacing w:line="360" w:lineRule="exact"/>
        <w:ind w:firstLine="643" w:firstLineChars="200"/>
        <w:rPr>
          <w:rFonts w:ascii="仿宋" w:hAnsi="仿宋" w:eastAsia="仿宋"/>
          <w:sz w:val="32"/>
          <w:szCs w:val="32"/>
        </w:rPr>
      </w:pPr>
      <w:r>
        <w:rPr>
          <w:rFonts w:hint="eastAsia" w:ascii="仿宋" w:hAnsi="仿宋" w:eastAsia="仿宋"/>
          <w:b/>
          <w:sz w:val="32"/>
          <w:szCs w:val="32"/>
        </w:rPr>
        <w:t>深入推进扫黑除恶专项斗争。</w:t>
      </w:r>
      <w:r>
        <w:rPr>
          <w:rFonts w:hint="eastAsia" w:ascii="仿宋" w:hAnsi="仿宋" w:eastAsia="仿宋"/>
          <w:sz w:val="32"/>
          <w:szCs w:val="32"/>
        </w:rPr>
        <w:t>拓展线索收集渠道，对重点地区、重点行业、重点领域开展拉网式排摸，把“坐等线索”变为主动找线索；严格落实两高两部《关于办理黑恶势力犯罪案件若干问题的指导意见》；以软弱涣散村、社区的整顿及换届选举为重点，认真准备中央工作组扫黑除恶迎检工作。截至目前，核查省、市、区交办涉黑涉恶线索25条，已出具核查结论，刑事拘留19人，参与打掉涉黑恶团伙4个，其中1个黑社会团伙和1个恶势力犯罪团伙已经一审判决，1个恶势力团伙已经提起公诉，1个恶势力团伙尚在深挖中。</w:t>
      </w:r>
    </w:p>
    <w:p>
      <w:pPr>
        <w:spacing w:line="360" w:lineRule="exact"/>
        <w:ind w:firstLine="643" w:firstLineChars="200"/>
        <w:rPr>
          <w:rFonts w:ascii="仿宋" w:hAnsi="仿宋" w:eastAsia="仿宋"/>
          <w:sz w:val="32"/>
          <w:szCs w:val="32"/>
        </w:rPr>
      </w:pPr>
      <w:r>
        <w:rPr>
          <w:rFonts w:hint="eastAsia" w:ascii="仿宋" w:hAnsi="仿宋" w:eastAsia="仿宋"/>
          <w:b/>
          <w:sz w:val="32"/>
          <w:szCs w:val="32"/>
        </w:rPr>
        <w:t>抓好基层矛盾纠纷处理。</w:t>
      </w:r>
      <w:r>
        <w:rPr>
          <w:rFonts w:hint="eastAsia" w:ascii="仿宋" w:hAnsi="仿宋" w:eastAsia="仿宋"/>
          <w:sz w:val="32"/>
          <w:szCs w:val="32"/>
        </w:rPr>
        <w:t>全年接待个体访214人次，群访75批共384人次。受理阳光信件99件，办结98件（其中，省委巡视组、中央、省市区交办督办件共67件全部办结）。受理区总值班室市长专线934件、网上投诉（民意直通车）19件、城市留言板126件，其中市长专线已办结902件，民意直通车、市民留言板已全部回告。综合运用政治、经济、法律、人文关怀等多种手段，化解了一批信访积案：双桥村村民李四新土地确权及赔偿案、滠口村魏顺生房屋年久失修对改建产生的费用进行赔偿案、滠口村阳逻湾村民李新全征地补偿标准过低进行确权以及赔偿案等。</w:t>
      </w:r>
    </w:p>
    <w:p>
      <w:pPr>
        <w:spacing w:line="360" w:lineRule="exact"/>
        <w:ind w:firstLine="643" w:firstLineChars="200"/>
        <w:rPr>
          <w:rFonts w:ascii="仿宋" w:hAnsi="仿宋" w:eastAsia="仿宋"/>
          <w:b/>
          <w:sz w:val="32"/>
          <w:szCs w:val="32"/>
        </w:rPr>
      </w:pPr>
      <w:r>
        <w:rPr>
          <w:rFonts w:hint="eastAsia" w:ascii="仿宋" w:hAnsi="仿宋" w:eastAsia="仿宋"/>
          <w:b/>
          <w:sz w:val="32"/>
          <w:szCs w:val="32"/>
        </w:rPr>
        <w:t>（八）加强政治思想建设，发挥组织引导作用</w:t>
      </w:r>
    </w:p>
    <w:p>
      <w:pPr>
        <w:spacing w:line="360" w:lineRule="exact"/>
        <w:ind w:firstLine="643" w:firstLineChars="200"/>
        <w:rPr>
          <w:rFonts w:ascii="仿宋" w:hAnsi="仿宋" w:eastAsia="仿宋"/>
          <w:b/>
          <w:sz w:val="32"/>
          <w:szCs w:val="32"/>
        </w:rPr>
      </w:pPr>
      <w:r>
        <w:rPr>
          <w:rFonts w:hint="eastAsia" w:ascii="仿宋" w:hAnsi="仿宋" w:eastAsia="仿宋"/>
          <w:b/>
          <w:sz w:val="32"/>
          <w:szCs w:val="32"/>
        </w:rPr>
        <w:t>党建引领聚民心，服务民生促发展。</w:t>
      </w:r>
      <w:r>
        <w:rPr>
          <w:rFonts w:hint="eastAsia" w:ascii="仿宋" w:hAnsi="仿宋" w:eastAsia="仿宋"/>
          <w:sz w:val="32"/>
          <w:szCs w:val="32"/>
        </w:rPr>
        <w:t>一是党建+平台搭建，强化服务企业能力。每年与武汉卓尔等大型公司联合举办失地农民招聘会，解决企业用工难和居民就业难的问题；二是党建+区域联建，保障改革有序开展。以党群服务中心为核心，建立开放的区域化党建“共同体”；三是党建+基础建设，提高基层组织活力。开展党务知识竞赛，组织“七个一”系列活动等，夯实党务基础建设。</w:t>
      </w:r>
    </w:p>
    <w:p>
      <w:pPr>
        <w:spacing w:line="340" w:lineRule="exact"/>
        <w:ind w:firstLine="643" w:firstLineChars="200"/>
        <w:rPr>
          <w:rFonts w:ascii="仿宋" w:hAnsi="仿宋" w:eastAsia="仿宋"/>
          <w:sz w:val="32"/>
          <w:szCs w:val="32"/>
        </w:rPr>
      </w:pPr>
      <w:r>
        <w:rPr>
          <w:rFonts w:hint="eastAsia" w:ascii="仿宋" w:hAnsi="仿宋" w:eastAsia="仿宋"/>
          <w:b/>
          <w:sz w:val="32"/>
          <w:szCs w:val="32"/>
        </w:rPr>
        <w:t>管好宣传阵地，抓好意识形态。</w:t>
      </w:r>
      <w:r>
        <w:rPr>
          <w:rFonts w:hint="eastAsia" w:ascii="仿宋" w:hAnsi="仿宋" w:eastAsia="仿宋"/>
          <w:sz w:val="32"/>
          <w:szCs w:val="32"/>
        </w:rPr>
        <w:t>坚持问题导向，查找意识形态风险点3类9条，规范宣传报道路径和载体，从源头上加强对外信息发布和舆论风险防控能力；开展校园周边环境整治、校外培训机构专项治理；健全村、社区统战工作网络，依法对非法传教点进行劝停。自2018年9月起，组织党工委理论学习中心组的学习10期，每次理论学习中心组学习，学前必须由党工委书记亲自签批审阅学习方案，学中根据具体学习内容必须留下手写痕迹，有图片、资料、签到表、学习记录印证，学后应及时以“红头”形式向区委宣传部报送学习情况。</w:t>
      </w:r>
    </w:p>
    <w:p>
      <w:pPr>
        <w:spacing w:line="360" w:lineRule="exact"/>
        <w:ind w:firstLine="643" w:firstLineChars="200"/>
        <w:rPr>
          <w:rFonts w:ascii="仿宋" w:hAnsi="仿宋" w:eastAsia="仿宋"/>
          <w:sz w:val="32"/>
          <w:szCs w:val="32"/>
        </w:rPr>
      </w:pPr>
      <w:r>
        <w:rPr>
          <w:rFonts w:hint="eastAsia" w:ascii="仿宋" w:hAnsi="仿宋" w:eastAsia="仿宋"/>
          <w:b/>
          <w:sz w:val="32"/>
          <w:szCs w:val="32"/>
        </w:rPr>
        <w:t>落实党风廉政建设主体责任，加大案件查处力度。</w:t>
      </w:r>
      <w:r>
        <w:rPr>
          <w:rFonts w:hint="eastAsia" w:ascii="仿宋" w:hAnsi="仿宋" w:eastAsia="仿宋"/>
          <w:sz w:val="32"/>
          <w:szCs w:val="32"/>
        </w:rPr>
        <w:t>签订《滠口街党风廉政建设责任书》，推动全面从严治党向最基层延伸。开展以“清廉滠口、共享幸福”为主题的文艺汇演及青年广场讲习。集体参观学习蔡以忱陈列室，观看警示教育片《不忘初心 警钟长鸣》。发放新修订的《中国共产党纪律处分条例》和</w:t>
      </w:r>
      <w:r>
        <w:rPr>
          <w:rFonts w:hint="eastAsia" w:ascii="仿宋" w:hAnsi="仿宋" w:eastAsia="仿宋"/>
          <w:sz w:val="32"/>
          <w:szCs w:val="32"/>
          <w:lang w:eastAsia="zh-CN"/>
        </w:rPr>
        <w:t>《中华人民共和国监察法》</w:t>
      </w:r>
      <w:r>
        <w:rPr>
          <w:rFonts w:hint="eastAsia" w:ascii="仿宋" w:hAnsi="仿宋" w:eastAsia="仿宋"/>
          <w:sz w:val="32"/>
          <w:szCs w:val="32"/>
        </w:rPr>
        <w:t>。利用微信群实时发布廉政提醒，转发典型案例，充分发挥网络平台教育作用。街纪工委始终把综合运用“四种形态”贯穿于监督执纪问责的全过程，共处理39人次。</w:t>
      </w:r>
    </w:p>
    <w:p>
      <w:pPr>
        <w:adjustRightInd w:val="0"/>
        <w:snapToGrid w:val="0"/>
        <w:spacing w:line="580" w:lineRule="atLeast"/>
        <w:ind w:firstLine="640" w:firstLineChars="200"/>
        <w:jc w:val="both"/>
      </w:pPr>
      <w:r>
        <w:rPr>
          <w:rFonts w:hint="eastAsia" w:ascii="楷体_GB2312" w:eastAsia="楷体_GB2312"/>
          <w:bCs/>
          <w:kern w:val="44"/>
          <w:sz w:val="32"/>
          <w:szCs w:val="32"/>
        </w:rPr>
        <w:t> </w:t>
      </w:r>
    </w:p>
    <w:p>
      <w:pPr>
        <w:adjustRightInd w:val="0"/>
        <w:snapToGrid w:val="0"/>
        <w:spacing w:line="580" w:lineRule="atLeast"/>
        <w:ind w:firstLine="640" w:firstLineChars="200"/>
        <w:jc w:val="both"/>
      </w:pPr>
      <w:r>
        <w:rPr>
          <w:rFonts w:ascii="Calibri" w:hAnsi="Calibri" w:eastAsia="黑体" w:cs="Calibri"/>
          <w:sz w:val="32"/>
          <w:szCs w:val="32"/>
        </w:rPr>
        <w:t> </w:t>
      </w:r>
    </w:p>
    <w:tbl>
      <w:tblPr>
        <w:tblStyle w:val="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818"/>
        <w:gridCol w:w="277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atLeast"/>
              <w:jc w:val="center"/>
              <w:rPr>
                <w:rFonts w:ascii="黑体" w:hAnsi="黑体" w:eastAsia="黑体"/>
              </w:rPr>
            </w:pPr>
            <w:r>
              <w:rPr>
                <w:rFonts w:hint="eastAsia" w:ascii="黑体" w:hAnsi="黑体" w:eastAsia="黑体"/>
                <w:sz w:val="32"/>
                <w:szCs w:val="32"/>
              </w:rPr>
              <w:t>序号</w:t>
            </w:r>
          </w:p>
        </w:tc>
        <w:tc>
          <w:tcPr>
            <w:tcW w:w="18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atLeast"/>
              <w:jc w:val="center"/>
              <w:rPr>
                <w:rFonts w:ascii="黑体" w:hAnsi="黑体" w:eastAsia="黑体"/>
              </w:rPr>
            </w:pPr>
            <w:r>
              <w:rPr>
                <w:rFonts w:hint="eastAsia" w:ascii="黑体" w:hAnsi="黑体" w:eastAsia="黑体"/>
                <w:sz w:val="32"/>
                <w:szCs w:val="20"/>
              </w:rPr>
              <w:t>重要事项</w:t>
            </w:r>
          </w:p>
        </w:tc>
        <w:tc>
          <w:tcPr>
            <w:tcW w:w="2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atLeast"/>
              <w:jc w:val="center"/>
              <w:rPr>
                <w:rFonts w:ascii="黑体" w:hAnsi="黑体" w:eastAsia="黑体"/>
              </w:rPr>
            </w:pPr>
            <w:r>
              <w:rPr>
                <w:rFonts w:hint="eastAsia" w:ascii="黑体" w:hAnsi="黑体" w:eastAsia="黑体"/>
                <w:sz w:val="32"/>
                <w:szCs w:val="20"/>
              </w:rPr>
              <w:t>工作内容及目标</w:t>
            </w:r>
          </w:p>
        </w:tc>
        <w:tc>
          <w:tcPr>
            <w:tcW w:w="2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atLeast"/>
              <w:jc w:val="center"/>
              <w:rPr>
                <w:rFonts w:ascii="黑体" w:hAnsi="黑体" w:eastAsia="黑体"/>
              </w:rPr>
            </w:pPr>
            <w:r>
              <w:rPr>
                <w:rFonts w:hint="eastAsia" w:ascii="黑体" w:hAnsi="黑体" w:eastAsia="黑体"/>
                <w:sz w:val="32"/>
                <w:szCs w:val="20"/>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atLeast"/>
              <w:jc w:val="center"/>
              <w:rPr>
                <w:rFonts w:ascii="黑体" w:hAnsi="黑体" w:eastAsia="黑体"/>
              </w:rPr>
            </w:pPr>
            <w:r>
              <w:rPr>
                <w:rFonts w:hint="eastAsia" w:ascii="黑体" w:hAnsi="黑体" w:eastAsia="黑体"/>
                <w:sz w:val="32"/>
                <w:szCs w:val="32"/>
              </w:rPr>
              <w:t>1</w:t>
            </w:r>
          </w:p>
        </w:tc>
        <w:tc>
          <w:tcPr>
            <w:tcW w:w="181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绩效指标</w:t>
            </w:r>
          </w:p>
        </w:tc>
        <w:tc>
          <w:tcPr>
            <w:tcW w:w="27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完成国地税、固定资产投资、工业投资等全年经济指标任务</w:t>
            </w:r>
          </w:p>
        </w:tc>
        <w:tc>
          <w:tcPr>
            <w:tcW w:w="261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国地税完成目标任务的107%，固定资产投资完成15.5%，工业投资完成100%。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atLeast"/>
              <w:jc w:val="center"/>
              <w:rPr>
                <w:rFonts w:ascii="黑体" w:hAnsi="黑体" w:eastAsia="黑体"/>
              </w:rPr>
            </w:pPr>
            <w:r>
              <w:rPr>
                <w:rFonts w:hint="eastAsia" w:ascii="黑体" w:hAnsi="黑体" w:eastAsia="黑体"/>
                <w:sz w:val="32"/>
                <w:szCs w:val="32"/>
              </w:rPr>
              <w:t>2</w:t>
            </w:r>
          </w:p>
        </w:tc>
        <w:tc>
          <w:tcPr>
            <w:tcW w:w="181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招商引资</w:t>
            </w:r>
          </w:p>
        </w:tc>
        <w:tc>
          <w:tcPr>
            <w:tcW w:w="27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实施“工业强街”“项目强街”，</w:t>
            </w:r>
            <w:r>
              <w:rPr>
                <w:rFonts w:hint="eastAsia" w:asciiTheme="minorEastAsia" w:hAnsiTheme="minorEastAsia" w:eastAsiaTheme="minorEastAsia"/>
                <w:sz w:val="20"/>
                <w:szCs w:val="20"/>
              </w:rPr>
              <w:t xml:space="preserve"> 突出项目攻坚，做强工业经济。</w:t>
            </w:r>
          </w:p>
        </w:tc>
        <w:tc>
          <w:tcPr>
            <w:tcW w:w="261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sz w:val="20"/>
                <w:szCs w:val="20"/>
              </w:rPr>
            </w:pPr>
            <w:r>
              <w:rPr>
                <w:rFonts w:hint="eastAsia" w:asciiTheme="minorEastAsia" w:hAnsiTheme="minorEastAsia" w:eastAsiaTheme="minorEastAsia"/>
                <w:sz w:val="20"/>
                <w:szCs w:val="20"/>
              </w:rPr>
              <w:t>华中金圣达投资公司兴建的温州彩印包装园项目，已建成21万方，其中厂房面积19万方，聚集了二十余家彩印包装企业，目前已投产6户。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atLeast"/>
              <w:jc w:val="center"/>
              <w:rPr>
                <w:rFonts w:ascii="黑体" w:hAnsi="黑体" w:eastAsia="黑体"/>
              </w:rPr>
            </w:pPr>
            <w:r>
              <w:rPr>
                <w:rFonts w:hint="eastAsia" w:ascii="黑体" w:hAnsi="黑体" w:eastAsia="黑体"/>
                <w:bCs/>
                <w:kern w:val="44"/>
                <w:sz w:val="32"/>
                <w:szCs w:val="32"/>
              </w:rPr>
              <w:t>3</w:t>
            </w:r>
          </w:p>
        </w:tc>
        <w:tc>
          <w:tcPr>
            <w:tcW w:w="181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城镇建设</w:t>
            </w:r>
          </w:p>
        </w:tc>
        <w:tc>
          <w:tcPr>
            <w:tcW w:w="27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sz w:val="20"/>
                <w:szCs w:val="20"/>
              </w:rPr>
            </w:pPr>
            <w:r>
              <w:rPr>
                <w:rFonts w:hint="eastAsia" w:asciiTheme="majorEastAsia" w:hAnsiTheme="majorEastAsia" w:eastAsiaTheme="majorEastAsia"/>
                <w:sz w:val="20"/>
                <w:szCs w:val="20"/>
              </w:rPr>
              <w:t>加快四环线、武大高速、滨湖路延长线等13条主干及支网建设进度，进一步完善街内外交通循环。</w:t>
            </w:r>
          </w:p>
        </w:tc>
        <w:tc>
          <w:tcPr>
            <w:tcW w:w="261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四环线征地工作已完成，</w:t>
            </w:r>
            <w:r>
              <w:rPr>
                <w:rFonts w:hint="eastAsia" w:asciiTheme="minorEastAsia" w:hAnsiTheme="minorEastAsia" w:eastAsiaTheme="minorEastAsia"/>
                <w:sz w:val="20"/>
                <w:szCs w:val="20"/>
              </w:rPr>
              <w:t>拆迁完成97%；滨湖路延长线项目征地拆迁工作已完成。环湖路地已征完，完成拆迁1051㎡；南湖互通立交征地基本完成。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atLeast"/>
              <w:jc w:val="center"/>
              <w:rPr>
                <w:rFonts w:ascii="黑体" w:hAnsi="黑体" w:eastAsia="黑体"/>
                <w:bCs/>
                <w:kern w:val="44"/>
                <w:sz w:val="32"/>
                <w:szCs w:val="32"/>
              </w:rPr>
            </w:pPr>
            <w:r>
              <w:rPr>
                <w:rFonts w:hint="eastAsia" w:ascii="黑体" w:hAnsi="黑体" w:eastAsia="黑体"/>
                <w:bCs/>
                <w:kern w:val="44"/>
                <w:sz w:val="32"/>
                <w:szCs w:val="32"/>
              </w:rPr>
              <w:t>4</w:t>
            </w:r>
          </w:p>
        </w:tc>
        <w:tc>
          <w:tcPr>
            <w:tcW w:w="181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民生保障</w:t>
            </w:r>
          </w:p>
        </w:tc>
        <w:tc>
          <w:tcPr>
            <w:tcW w:w="27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sz w:val="20"/>
                <w:szCs w:val="20"/>
              </w:rPr>
            </w:pPr>
            <w:r>
              <w:rPr>
                <w:rFonts w:hint="eastAsia" w:asciiTheme="majorEastAsia" w:hAnsiTheme="majorEastAsia" w:eastAsiaTheme="majorEastAsia"/>
                <w:sz w:val="20"/>
                <w:szCs w:val="20"/>
              </w:rPr>
              <w:t>打造居民休闲娱乐好去处，</w:t>
            </w:r>
            <w:r>
              <w:rPr>
                <w:rFonts w:hint="eastAsia" w:asciiTheme="minorEastAsia" w:hAnsiTheme="minorEastAsia" w:eastAsiaTheme="minorEastAsia"/>
                <w:sz w:val="20"/>
                <w:szCs w:val="20"/>
              </w:rPr>
              <w:t>补齐基础教育设施短板，积极推进养老事业产业发展</w:t>
            </w:r>
          </w:p>
        </w:tc>
        <w:tc>
          <w:tcPr>
            <w:tcW w:w="261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sz w:val="20"/>
                <w:szCs w:val="20"/>
              </w:rPr>
            </w:pPr>
            <w:r>
              <w:rPr>
                <w:rFonts w:hint="eastAsia" w:asciiTheme="minorEastAsia" w:hAnsiTheme="minorEastAsia" w:eastAsiaTheme="minorEastAsia"/>
                <w:sz w:val="20"/>
                <w:szCs w:val="20"/>
              </w:rPr>
              <w:t>投入6000万分别新建了汉北游园和营盘山游园，滠口一小改扩建工程正在办理前期手续，滠口二小（二期）工程已完成并部分交付使用，新建幸福食堂1个，老年服务中心1个，创建老年宜居社区2个。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atLeast"/>
              <w:jc w:val="center"/>
              <w:rPr>
                <w:rFonts w:ascii="黑体" w:hAnsi="黑体" w:eastAsia="黑体"/>
              </w:rPr>
            </w:pPr>
            <w:r>
              <w:rPr>
                <w:rFonts w:hint="eastAsia" w:ascii="黑体" w:hAnsi="黑体" w:eastAsia="黑体"/>
                <w:bCs/>
                <w:kern w:val="44"/>
                <w:sz w:val="32"/>
                <w:szCs w:val="32"/>
              </w:rPr>
              <w:t>5</w:t>
            </w:r>
          </w:p>
        </w:tc>
        <w:tc>
          <w:tcPr>
            <w:tcW w:w="181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制度建设</w:t>
            </w:r>
          </w:p>
        </w:tc>
        <w:tc>
          <w:tcPr>
            <w:tcW w:w="27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sz w:val="20"/>
                <w:szCs w:val="20"/>
              </w:rPr>
            </w:pPr>
            <w:r>
              <w:rPr>
                <w:rFonts w:hint="eastAsia" w:asciiTheme="minorEastAsia" w:hAnsiTheme="minorEastAsia" w:eastAsiaTheme="minorEastAsia"/>
                <w:sz w:val="20"/>
                <w:szCs w:val="20"/>
              </w:rPr>
              <w:t>管好宣传阵地，抓好意识形态，落实党风廉政建设主体责任，加大案件查处力度。</w:t>
            </w:r>
          </w:p>
        </w:tc>
        <w:tc>
          <w:tcPr>
            <w:tcW w:w="261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sz w:val="20"/>
                <w:szCs w:val="20"/>
              </w:rPr>
            </w:pPr>
            <w:r>
              <w:rPr>
                <w:rFonts w:hint="eastAsia" w:asciiTheme="minorEastAsia" w:hAnsiTheme="minorEastAsia" w:eastAsiaTheme="minorEastAsia"/>
                <w:sz w:val="20"/>
                <w:szCs w:val="20"/>
              </w:rPr>
              <w:t>坚持问题导向，查找意识形态风险点3类9条，组织党工委理论学习中心组的学习10期，签订《滠口街党风廉政建设责任书》，推动全面从严治党向最基层延伸。</w:t>
            </w:r>
          </w:p>
        </w:tc>
      </w:tr>
    </w:tbl>
    <w:p>
      <w:pPr>
        <w:snapToGrid w:val="0"/>
        <w:jc w:val="both"/>
      </w:pPr>
      <w:r>
        <w:rPr>
          <w:rFonts w:ascii="黑体" w:hAnsi="Times New Roman" w:eastAsia="黑体"/>
          <w:kern w:val="44"/>
          <w:sz w:val="44"/>
          <w:szCs w:val="44"/>
        </w:rPr>
        <w:t> </w:t>
      </w:r>
    </w:p>
    <w:p>
      <w:pPr>
        <w:snapToGrid w:val="0"/>
        <w:jc w:val="both"/>
      </w:pPr>
      <w:r>
        <w:rPr>
          <w:rFonts w:hint="eastAsia"/>
        </w:rPr>
        <w:t xml:space="preserve">  </w:t>
      </w:r>
    </w:p>
    <w:p>
      <w:pPr>
        <w:pStyle w:val="2"/>
        <w:snapToGrid w:val="0"/>
        <w:spacing w:before="0" w:beforeAutospacing="0" w:after="0" w:afterAutospacing="0"/>
        <w:jc w:val="center"/>
      </w:pPr>
      <w:r>
        <w:rPr>
          <w:rFonts w:hint="eastAsia" w:ascii="Times New Roman" w:hAnsi="Times New Roman"/>
        </w:rPr>
        <w:t>第五部分</w:t>
      </w:r>
      <w:r>
        <w:rPr>
          <w:rFonts w:hint="eastAsia"/>
        </w:rPr>
        <w:t xml:space="preserve">  </w:t>
      </w:r>
      <w:r>
        <w:rPr>
          <w:rFonts w:hint="eastAsia" w:ascii="Times New Roman" w:hAnsi="Times New Roman"/>
        </w:rPr>
        <w:t>名词解释</w:t>
      </w:r>
    </w:p>
    <w:p>
      <w:pPr>
        <w:snapToGrid w:val="0"/>
        <w:ind w:firstLine="640" w:firstLineChars="200"/>
        <w:jc w:val="both"/>
      </w:pPr>
      <w:r>
        <w:rPr>
          <w:rFonts w:hint="eastAsia" w:ascii="仿宋_GB2312" w:eastAsia="仿宋_GB2312"/>
          <w:bCs/>
          <w:kern w:val="44"/>
          <w:sz w:val="32"/>
          <w:szCs w:val="32"/>
        </w:rPr>
        <w:t>(一)财政拨款收入：指</w:t>
      </w:r>
      <w:r>
        <w:rPr>
          <w:rFonts w:hint="eastAsia" w:ascii="仿宋_GB2312" w:eastAsia="仿宋_GB2312"/>
          <w:sz w:val="32"/>
          <w:szCs w:val="32"/>
        </w:rPr>
        <w:t>单位从本级财政部门取得的财政拨款，包括</w:t>
      </w:r>
      <w:r>
        <w:rPr>
          <w:rFonts w:hint="eastAsia" w:ascii="仿宋_GB2312" w:eastAsia="仿宋_GB2312"/>
          <w:spacing w:val="6"/>
          <w:sz w:val="32"/>
          <w:szCs w:val="32"/>
        </w:rPr>
        <w:t>一般公共预算财政拨款</w:t>
      </w:r>
      <w:r>
        <w:rPr>
          <w:rFonts w:hint="eastAsia" w:ascii="仿宋_GB2312" w:eastAsia="仿宋_GB2312"/>
          <w:sz w:val="32"/>
          <w:szCs w:val="32"/>
        </w:rPr>
        <w:t>和政府性基金预算财政拨款。</w:t>
      </w:r>
    </w:p>
    <w:p>
      <w:pPr>
        <w:snapToGrid w:val="0"/>
        <w:spacing w:line="580" w:lineRule="atLeast"/>
        <w:ind w:firstLine="640" w:firstLineChars="200"/>
        <w:jc w:val="both"/>
      </w:pPr>
      <w:r>
        <w:rPr>
          <w:rFonts w:hint="eastAsia" w:ascii="仿宋_GB2312" w:eastAsia="仿宋_GB2312"/>
          <w:bCs/>
          <w:kern w:val="44"/>
          <w:sz w:val="32"/>
          <w:szCs w:val="32"/>
        </w:rPr>
        <w:t>(二)上级补助收入：指从</w:t>
      </w:r>
      <w:r>
        <w:rPr>
          <w:rFonts w:hint="eastAsia" w:ascii="仿宋_GB2312" w:eastAsia="仿宋_GB2312"/>
          <w:sz w:val="32"/>
          <w:szCs w:val="32"/>
        </w:rPr>
        <w:t>事业单位</w:t>
      </w:r>
      <w:r>
        <w:rPr>
          <w:rFonts w:hint="eastAsia" w:ascii="仿宋_GB2312" w:eastAsia="仿宋_GB2312"/>
          <w:bCs/>
          <w:kern w:val="44"/>
          <w:sz w:val="32"/>
          <w:szCs w:val="32"/>
        </w:rPr>
        <w:t>主管部门和上级单位取得的非财政补助收入。</w:t>
      </w:r>
    </w:p>
    <w:p>
      <w:pPr>
        <w:snapToGrid w:val="0"/>
        <w:spacing w:line="580" w:lineRule="atLeast"/>
        <w:ind w:firstLine="640" w:firstLineChars="200"/>
        <w:jc w:val="both"/>
      </w:pPr>
      <w:r>
        <w:rPr>
          <w:rFonts w:hint="eastAsia" w:ascii="仿宋_GB2312" w:eastAsia="仿宋_GB2312"/>
          <w:bCs/>
          <w:kern w:val="44"/>
          <w:sz w:val="32"/>
          <w:szCs w:val="32"/>
        </w:rPr>
        <w:t>(三)事业收入：指事业单位开展专业业务活动及其辅助活动取得的收入。</w:t>
      </w:r>
    </w:p>
    <w:p>
      <w:pPr>
        <w:adjustRightInd w:val="0"/>
        <w:snapToGrid w:val="0"/>
        <w:spacing w:line="580" w:lineRule="atLeast"/>
        <w:ind w:firstLine="640" w:firstLineChars="200"/>
        <w:jc w:val="both"/>
      </w:pPr>
      <w:r>
        <w:rPr>
          <w:rFonts w:hint="eastAsia" w:ascii="仿宋_GB2312" w:eastAsia="仿宋_GB2312"/>
          <w:bCs/>
          <w:kern w:val="44"/>
          <w:sz w:val="32"/>
          <w:szCs w:val="32"/>
        </w:rPr>
        <w:t>(四)经营收入：指事业单位在专业业务活动及其辅助活动之外开展非独立核算经营活动取得的收入。</w:t>
      </w:r>
    </w:p>
    <w:p>
      <w:pPr>
        <w:adjustRightInd w:val="0"/>
        <w:snapToGrid w:val="0"/>
        <w:spacing w:line="580" w:lineRule="atLeast"/>
        <w:ind w:firstLine="640" w:firstLineChars="200"/>
        <w:jc w:val="both"/>
      </w:pPr>
      <w:r>
        <w:rPr>
          <w:rFonts w:hint="eastAsia" w:ascii="仿宋_GB2312" w:eastAsia="仿宋_GB2312"/>
          <w:bCs/>
          <w:kern w:val="44"/>
          <w:sz w:val="32"/>
          <w:szCs w:val="32"/>
        </w:rPr>
        <w:t>(五)其他收入：指</w:t>
      </w:r>
      <w:r>
        <w:rPr>
          <w:rFonts w:hint="eastAsia" w:ascii="仿宋_GB2312" w:eastAsia="仿宋_GB2312"/>
          <w:sz w:val="32"/>
          <w:szCs w:val="32"/>
        </w:rPr>
        <w:t>单位取得的除上述收入以外的各项收入。</w:t>
      </w:r>
    </w:p>
    <w:p>
      <w:pPr>
        <w:adjustRightInd w:val="0"/>
        <w:snapToGrid w:val="0"/>
        <w:spacing w:line="580" w:lineRule="atLeast"/>
        <w:ind w:firstLine="640" w:firstLineChars="200"/>
        <w:jc w:val="both"/>
      </w:pPr>
      <w:r>
        <w:rPr>
          <w:rFonts w:hint="eastAsia" w:ascii="仿宋_GB2312" w:eastAsia="仿宋_GB2312"/>
          <w:bCs/>
          <w:kern w:val="44"/>
          <w:sz w:val="32"/>
          <w:szCs w:val="32"/>
        </w:rPr>
        <w:t>(六)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djustRightInd w:val="0"/>
        <w:snapToGrid w:val="0"/>
        <w:spacing w:line="580" w:lineRule="atLeast"/>
        <w:ind w:firstLine="640" w:firstLineChars="200"/>
        <w:jc w:val="both"/>
      </w:pPr>
      <w:r>
        <w:rPr>
          <w:rFonts w:hint="eastAsia" w:ascii="仿宋_GB2312" w:eastAsia="仿宋_GB2312"/>
          <w:bCs/>
          <w:kern w:val="44"/>
          <w:sz w:val="32"/>
          <w:szCs w:val="32"/>
        </w:rPr>
        <w:t>(七)年初结转和结余：指以前年度尚未完成、结转到本年按有关规定继续使用的资金。</w:t>
      </w:r>
    </w:p>
    <w:p>
      <w:pPr>
        <w:adjustRightInd w:val="0"/>
        <w:snapToGrid w:val="0"/>
        <w:spacing w:line="580" w:lineRule="atLeast"/>
        <w:ind w:firstLine="640" w:firstLineChars="200"/>
        <w:jc w:val="both"/>
      </w:pPr>
      <w:r>
        <w:rPr>
          <w:rFonts w:hint="eastAsia" w:ascii="仿宋_GB2312" w:eastAsia="仿宋_GB2312"/>
          <w:bCs/>
          <w:kern w:val="44"/>
          <w:sz w:val="32"/>
          <w:szCs w:val="32"/>
        </w:rPr>
        <w:t>(八)本部门使用的支出功能分类科目</w:t>
      </w:r>
      <w:r>
        <w:rPr>
          <w:rFonts w:hint="eastAsia"/>
        </w:rPr>
        <w:t xml:space="preserve"> </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bCs/>
          <w:kern w:val="44"/>
          <w:sz w:val="32"/>
          <w:szCs w:val="32"/>
        </w:rPr>
        <w:t>1.</w:t>
      </w:r>
      <w:r>
        <w:rPr>
          <w:rFonts w:hint="eastAsia" w:ascii="仿宋_GB2312" w:eastAsia="仿宋_GB2312"/>
          <w:sz w:val="32"/>
          <w:szCs w:val="32"/>
        </w:rPr>
        <w:t>一般公共服务(类)政府办公厅（室）及相关机构事务(款)行政运行(项)：反映行政单位（包括实行公务员管理的事业单位）的基本支出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2一般公共服务(类)政府办公厅（室）及相关机构事务(款)一般行政管理事务（项）：反映行政单位（包括实行公务员管理的事业单位）未单独设置项级科目的其他项目支出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3一般公共服务(类)财政事务(款)事业运行（项）：反映事业单位的基本支出，不包括行政单位（包括实行公务员管理的事业单位）后勤服务中心、医务室等附属单位。</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4一般公共服务(类)纪检监察事务(款)其他纪检监察事务（项）：反映其他纪检监察事务方面的支出。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5一般公共服务(类) 其他一般公共服务(款)其他一般公共服务（项）：反应其他的一般公共服务支出。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6文化体育与传媒支出(类) 文化 (款)其他文化支出（项）：反映其他用于文化方面的支出。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7社会保障与就业支出(类) 民政管理事务 (款)基础政权与社区建设（项）：反映村民自治、村务公开等基层政权和社区建设工作的支出。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8社会保障与就业支出(类) 行政事业单位离退休 (款) 归口管理的行政单位离退休（项）：反映施行归口管理的行政单位（包括实行公务员管理的事业单位）开支的离退休经费。</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9社会保障与就业支出(类) 行政事业单位离退休 (款) 事业单位离退休（项）：反映实行归口管理的事业单位开支的离退休经费。</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10社会保障与就业支出(类) 就业补助 (款) 公益性岗位补贴（项）：反映财政对符合条件的就业困难人员在公益性岗位就业给与的岗位补贴支出。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11社会保障与就业支出(类) 抚恤(款) 其他优抚支出（项）：反映其他用于优抚方面的支出。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12医疗卫生与计划生育支出(类) 计划生育事务(款) 其他计划生育事务支出（项）：反映其他用于计划生育事务管理方面的支出。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13城乡社区支出(类) 城乡社区公共设施(款) 小城镇基础设施建设（项）：反映用于小城镇路、气、水、电等基本建设方面的支出。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14农林水支出(类) 农业(款) 事业运行（项）：反映用于农业事业单位基本支出，事业单位设施，系统运行与资产维护等方面的支出。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15农林水支出(类) 农村综合改革(款) 对村民委员会和村党支部的补助（项）：反映各级财政对村民委员会和党支部的补助支出，以及支持建立县级基本财力保障机制安排的村级组织运转奖补资金。</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16农林水支出(类) 农村综合改革(款) 其他农村综合改革支出（项）：反映其他用于农村综合改革方面的支出。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17国土海洋气象等支出(类) 国土资源事务(款) 其他国土资源事务支出（项）：反映其他用于国土资源事务方面的支出。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18住房保障支出(类) 住房改革支出(款) 住房公积金（项）：反映行政事业单位按人力资源和社会保障部、财政部规定的基本工资和津贴补贴以及规定比例为职工缴纳的住房公积金。</w:t>
      </w:r>
    </w:p>
    <w:p>
      <w:pPr>
        <w:adjustRightInd w:val="0"/>
        <w:snapToGrid w:val="0"/>
        <w:spacing w:line="580" w:lineRule="atLeast"/>
        <w:ind w:firstLine="640" w:firstLineChars="200"/>
        <w:jc w:val="both"/>
      </w:pPr>
      <w:r>
        <w:rPr>
          <w:rFonts w:hint="eastAsia" w:ascii="仿宋_GB2312" w:eastAsia="仿宋_GB2312"/>
          <w:sz w:val="32"/>
          <w:szCs w:val="32"/>
        </w:rPr>
        <w:t>19住房保障支出(类) 住房改革支出(款) 提租补贴（项）：反映按房改政策规定的标准，行政事业单位向职工（含离退休人员）发放的租金补贴。</w:t>
      </w:r>
    </w:p>
    <w:p>
      <w:pPr>
        <w:adjustRightInd w:val="0"/>
        <w:snapToGrid w:val="0"/>
        <w:spacing w:line="580" w:lineRule="atLeast"/>
        <w:ind w:firstLine="640" w:firstLineChars="200"/>
        <w:jc w:val="both"/>
      </w:pPr>
      <w:r>
        <w:rPr>
          <w:rFonts w:hint="eastAsia" w:ascii="仿宋_GB2312" w:eastAsia="仿宋_GB2312"/>
          <w:bCs/>
          <w:kern w:val="44"/>
          <w:sz w:val="32"/>
          <w:szCs w:val="32"/>
        </w:rPr>
        <w:t xml:space="preserve"> (九)结余分配：指事业单位按照会计制度规定缴纳的所得税以及从非财政补助结余中提取的职工福利基金、事业基金等。</w:t>
      </w:r>
    </w:p>
    <w:p>
      <w:pPr>
        <w:adjustRightInd w:val="0"/>
        <w:snapToGrid w:val="0"/>
        <w:spacing w:line="580" w:lineRule="atLeast"/>
        <w:ind w:firstLine="640" w:firstLineChars="200"/>
        <w:jc w:val="both"/>
      </w:pPr>
      <w:r>
        <w:rPr>
          <w:rFonts w:hint="eastAsia" w:ascii="仿宋_GB2312" w:eastAsia="仿宋_GB2312"/>
          <w:bCs/>
          <w:kern w:val="44"/>
          <w:sz w:val="32"/>
          <w:szCs w:val="32"/>
        </w:rPr>
        <w:t>(十)年末结转和结余：指单位按有关规定结转到下年或以后年度继续使用的资金。</w:t>
      </w:r>
    </w:p>
    <w:p>
      <w:pPr>
        <w:adjustRightInd w:val="0"/>
        <w:snapToGrid w:val="0"/>
        <w:spacing w:line="580" w:lineRule="atLeast"/>
        <w:ind w:firstLine="640" w:firstLineChars="200"/>
        <w:jc w:val="both"/>
      </w:pPr>
      <w:r>
        <w:rPr>
          <w:rFonts w:hint="eastAsia" w:ascii="仿宋_GB2312" w:eastAsia="仿宋_GB2312"/>
          <w:bCs/>
          <w:kern w:val="44"/>
          <w:sz w:val="32"/>
          <w:szCs w:val="32"/>
        </w:rPr>
        <w:t>(十一)基本支出：指单位为保障其机构正常运转、完成日常工作任务而发生的人员支出和公用支出。</w:t>
      </w:r>
    </w:p>
    <w:p>
      <w:pPr>
        <w:adjustRightInd w:val="0"/>
        <w:snapToGrid w:val="0"/>
        <w:spacing w:line="580" w:lineRule="atLeast"/>
        <w:ind w:firstLine="640" w:firstLineChars="200"/>
        <w:jc w:val="both"/>
      </w:pPr>
      <w:r>
        <w:rPr>
          <w:rFonts w:hint="eastAsia" w:ascii="仿宋_GB2312" w:eastAsia="仿宋_GB2312"/>
          <w:bCs/>
          <w:kern w:val="44"/>
          <w:sz w:val="32"/>
          <w:szCs w:val="32"/>
        </w:rPr>
        <w:t>(十二)项目支出：指</w:t>
      </w:r>
      <w:r>
        <w:rPr>
          <w:rFonts w:hint="eastAsia" w:ascii="仿宋_GB2312" w:eastAsia="仿宋_GB2312"/>
          <w:sz w:val="32"/>
          <w:szCs w:val="32"/>
        </w:rPr>
        <w:t>单位为完成特定的行政工作任务或事业发展目标，在基本支出之外发生的各项支出。</w:t>
      </w:r>
    </w:p>
    <w:p>
      <w:pPr>
        <w:adjustRightInd w:val="0"/>
        <w:snapToGrid w:val="0"/>
        <w:spacing w:line="580" w:lineRule="atLeast"/>
        <w:ind w:firstLine="640" w:firstLineChars="200"/>
        <w:jc w:val="both"/>
      </w:pPr>
      <w:r>
        <w:rPr>
          <w:rFonts w:hint="eastAsia" w:ascii="仿宋_GB2312" w:eastAsia="仿宋_GB2312"/>
          <w:bCs/>
          <w:kern w:val="44"/>
          <w:sz w:val="32"/>
          <w:szCs w:val="32"/>
        </w:rPr>
        <w:t>(</w:t>
      </w:r>
      <w:r>
        <w:rPr>
          <w:rFonts w:hint="eastAsia" w:ascii="仿宋_GB2312" w:eastAsia="仿宋_GB2312"/>
          <w:sz w:val="32"/>
          <w:szCs w:val="32"/>
        </w:rPr>
        <w:t>十三</w:t>
      </w:r>
      <w:r>
        <w:rPr>
          <w:rFonts w:hint="eastAsia" w:ascii="仿宋_GB2312" w:eastAsia="仿宋_GB2312"/>
          <w:bCs/>
          <w:kern w:val="44"/>
          <w:sz w:val="32"/>
          <w:szCs w:val="32"/>
        </w:rPr>
        <w:t>)经营支出：指事业单位在专业活动及辅助活动之外开展非独立核算经营活动发生的支出。</w:t>
      </w:r>
    </w:p>
    <w:p>
      <w:pPr>
        <w:adjustRightInd w:val="0"/>
        <w:snapToGrid w:val="0"/>
        <w:spacing w:line="580" w:lineRule="atLeast"/>
        <w:ind w:firstLine="640" w:firstLineChars="200"/>
        <w:jc w:val="both"/>
      </w:pPr>
      <w:r>
        <w:rPr>
          <w:rFonts w:hint="eastAsia" w:ascii="仿宋_GB2312" w:eastAsia="仿宋_GB2312"/>
          <w:sz w:val="32"/>
          <w:szCs w:val="32"/>
        </w:rPr>
        <w:t>(十四)“三公”经费：指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pPr>
        <w:snapToGrid w:val="0"/>
        <w:spacing w:line="580" w:lineRule="atLeast"/>
        <w:ind w:firstLine="640" w:firstLineChars="200"/>
        <w:jc w:val="both"/>
      </w:pPr>
      <w:r>
        <w:rPr>
          <w:rFonts w:hint="eastAsia" w:ascii="仿宋_GB2312" w:eastAsia="仿宋_GB2312"/>
          <w:sz w:val="32"/>
          <w:szCs w:val="32"/>
        </w:rPr>
        <w:t>(十五)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napToGrid w:val="0"/>
        <w:ind w:firstLine="640"/>
        <w:jc w:val="both"/>
        <w:rPr>
          <w:rFonts w:ascii="仿宋_GB2312" w:eastAsia="仿宋_GB2312"/>
          <w:sz w:val="32"/>
          <w:szCs w:val="32"/>
        </w:rPr>
      </w:pPr>
      <w:r>
        <w:rPr>
          <w:rFonts w:hint="eastAsia" w:ascii="仿宋_GB2312" w:eastAsia="仿宋_GB2312"/>
          <w:sz w:val="32"/>
          <w:szCs w:val="32"/>
        </w:rPr>
        <w:t>(十六)各单位其他专用名词解释。</w:t>
      </w:r>
    </w:p>
    <w:p>
      <w:pPr>
        <w:snapToGrid w:val="0"/>
        <w:ind w:firstLine="640"/>
        <w:jc w:val="both"/>
        <w:rPr>
          <w:rFonts w:ascii="仿宋_GB2312" w:eastAsia="仿宋_GB2312"/>
          <w:sz w:val="32"/>
          <w:szCs w:val="32"/>
        </w:rPr>
      </w:pPr>
    </w:p>
    <w:p>
      <w:pPr>
        <w:snapToGrid w:val="0"/>
        <w:ind w:firstLine="640"/>
        <w:jc w:val="both"/>
        <w:rPr>
          <w:rFonts w:ascii="仿宋_GB2312" w:eastAsia="仿宋_GB2312"/>
          <w:sz w:val="32"/>
          <w:szCs w:val="32"/>
        </w:rPr>
      </w:pPr>
      <w:r>
        <w:rPr>
          <w:rFonts w:hint="eastAsia" w:ascii="仿宋_GB2312" w:eastAsia="仿宋_GB2312"/>
          <w:sz w:val="32"/>
          <w:szCs w:val="32"/>
        </w:rPr>
        <w:t>咨询电话：61862001</w:t>
      </w:r>
    </w:p>
    <w:p>
      <w:pPr>
        <w:snapToGrid w:val="0"/>
        <w:ind w:firstLine="640"/>
        <w:jc w:val="both"/>
      </w:pPr>
    </w:p>
    <w:p>
      <w:pPr>
        <w:snapToGrid w:val="0"/>
        <w:ind w:firstLine="640"/>
        <w:jc w:val="both"/>
      </w:pPr>
      <w:r>
        <w:rPr>
          <w:rFonts w:hint="eastAsia" w:ascii="仿宋_GB2312" w:eastAsia="仿宋_GB2312"/>
          <w:sz w:val="32"/>
          <w:szCs w:val="32"/>
        </w:rPr>
        <w:t> </w:t>
      </w:r>
    </w:p>
    <w:p>
      <w:pPr>
        <w:snapToGrid w:val="0"/>
        <w:jc w:val="both"/>
      </w:pP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ZWRkZmJlYWE5MzRjMjhmN2U5MjhmYzgxZDhkNWEifQ=="/>
  </w:docVars>
  <w:rsids>
    <w:rsidRoot w:val="00DE028E"/>
    <w:rsid w:val="00074D94"/>
    <w:rsid w:val="000E36F0"/>
    <w:rsid w:val="001C6A91"/>
    <w:rsid w:val="0041571C"/>
    <w:rsid w:val="00443484"/>
    <w:rsid w:val="004B5E05"/>
    <w:rsid w:val="004F2FB7"/>
    <w:rsid w:val="00500C99"/>
    <w:rsid w:val="00523F55"/>
    <w:rsid w:val="00554DCC"/>
    <w:rsid w:val="006E5163"/>
    <w:rsid w:val="007D363E"/>
    <w:rsid w:val="007F3BFD"/>
    <w:rsid w:val="00807E0A"/>
    <w:rsid w:val="00821C96"/>
    <w:rsid w:val="008F2D85"/>
    <w:rsid w:val="00953629"/>
    <w:rsid w:val="00B53C61"/>
    <w:rsid w:val="00DE028E"/>
    <w:rsid w:val="00E7118B"/>
    <w:rsid w:val="00EF3500"/>
    <w:rsid w:val="00F21BB0"/>
    <w:rsid w:val="00F35DBA"/>
    <w:rsid w:val="00F51F17"/>
    <w:rsid w:val="13BF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link w:val="8"/>
    <w:qFormat/>
    <w:uiPriority w:val="9"/>
    <w:pPr>
      <w:spacing w:before="100" w:beforeAutospacing="1" w:after="100" w:afterAutospacing="1"/>
      <w:outlineLvl w:val="0"/>
    </w:pPr>
    <w:rPr>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uiPriority w:val="99"/>
    <w:pPr>
      <w:tabs>
        <w:tab w:val="center" w:pos="4153"/>
        <w:tab w:val="right" w:pos="8306"/>
      </w:tabs>
      <w:snapToGrid w:val="0"/>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spacing w:before="100" w:beforeAutospacing="1" w:after="100" w:afterAutospacing="1"/>
    </w:pPr>
  </w:style>
  <w:style w:type="character" w:customStyle="1" w:styleId="8">
    <w:name w:val="标题 1 Char"/>
    <w:basedOn w:val="7"/>
    <w:link w:val="2"/>
    <w:qFormat/>
    <w:locked/>
    <w:uiPriority w:val="9"/>
    <w:rPr>
      <w:rFonts w:hint="eastAsia" w:ascii="宋体" w:hAnsi="宋体" w:eastAsia="宋体" w:cs="宋体"/>
      <w:b/>
      <w:bCs/>
      <w:kern w:val="44"/>
      <w:sz w:val="44"/>
      <w:szCs w:val="44"/>
    </w:rPr>
  </w:style>
  <w:style w:type="paragraph" w:customStyle="1" w:styleId="9">
    <w:name w:val="default"/>
    <w:basedOn w:val="1"/>
    <w:qFormat/>
    <w:uiPriority w:val="0"/>
    <w:pPr>
      <w:spacing w:before="100" w:beforeAutospacing="1" w:after="100" w:afterAutospacing="1"/>
    </w:pPr>
  </w:style>
  <w:style w:type="character" w:customStyle="1" w:styleId="10">
    <w:name w:val="spelle"/>
    <w:basedOn w:val="7"/>
    <w:qFormat/>
    <w:uiPriority w:val="0"/>
  </w:style>
  <w:style w:type="character" w:customStyle="1" w:styleId="11">
    <w:name w:val="页眉 Char"/>
    <w:basedOn w:val="7"/>
    <w:link w:val="4"/>
    <w:semiHidden/>
    <w:qFormat/>
    <w:uiPriority w:val="99"/>
    <w:rPr>
      <w:rFonts w:ascii="宋体" w:hAnsi="宋体" w:eastAsia="宋体" w:cs="宋体"/>
      <w:sz w:val="18"/>
      <w:szCs w:val="18"/>
    </w:rPr>
  </w:style>
  <w:style w:type="character" w:customStyle="1" w:styleId="12">
    <w:name w:val="页脚 Char"/>
    <w:basedOn w:val="7"/>
    <w:link w:val="3"/>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oleObject" Target="embeddings/Workbook3.xls"/><Relationship Id="rId7" Type="http://schemas.openxmlformats.org/officeDocument/2006/relationships/image" Target="media/image2.png"/><Relationship Id="rId6" Type="http://schemas.openxmlformats.org/officeDocument/2006/relationships/oleObject" Target="embeddings/Workbook2.xls"/><Relationship Id="rId5" Type="http://schemas.openxmlformats.org/officeDocument/2006/relationships/image" Target="media/image1.png"/><Relationship Id="rId4" Type="http://schemas.openxmlformats.org/officeDocument/2006/relationships/oleObject" Target="embeddings/Workbook1.xls"/><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4.png"/><Relationship Id="rId10" Type="http://schemas.openxmlformats.org/officeDocument/2006/relationships/oleObject" Target="embeddings/Workbook4.xls"/><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14657</Words>
  <Characters>15713</Characters>
  <Lines>115</Lines>
  <Paragraphs>32</Paragraphs>
  <TotalTime>1</TotalTime>
  <ScaleCrop>false</ScaleCrop>
  <LinksUpToDate>false</LinksUpToDate>
  <CharactersWithSpaces>15885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2023-10-12T05:13:00Z</dcterms:created>
  <dc:creator>Administrator</dc:creator>
  <cp:lastModifiedBy>大鱼</cp:lastModifiedBy>
  <dcterms:modified xsi:type="dcterms:W3CDTF">2024-06-05T07:07:46Z</dcterms:modified>
  <dc:title>DWZDM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96587D1943E641B7B8018377BB4AA374_12</vt:lpwstr>
  </property>
</Properties>
</file>